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3" w:rsidRPr="00694024" w:rsidRDefault="00E14A94" w:rsidP="00DB6EB3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TEST </w:t>
      </w:r>
      <w:bookmarkStart w:id="0" w:name="_GoBack"/>
      <w:bookmarkEnd w:id="0"/>
      <w:r w:rsidR="00DB6EB3">
        <w:rPr>
          <w:b/>
          <w:sz w:val="40"/>
          <w:szCs w:val="40"/>
        </w:rPr>
        <w:t xml:space="preserve">MEI </w:t>
      </w:r>
      <w:r w:rsidR="00593CCF">
        <w:rPr>
          <w:b/>
          <w:sz w:val="40"/>
          <w:szCs w:val="40"/>
        </w:rPr>
        <w:t>FACSIMILE</w:t>
      </w:r>
    </w:p>
    <w:p w:rsidR="00DB6EB3" w:rsidRDefault="00DB6EB3" w:rsidP="00DB6EB3">
      <w:pPr>
        <w:pStyle w:val="Standard"/>
        <w:jc w:val="both"/>
      </w:pPr>
    </w:p>
    <w:p w:rsidR="00C941B9" w:rsidRPr="00B53365" w:rsidRDefault="00C941B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Sia da</w:t>
      </w:r>
      <w:r w:rsidR="004B388A">
        <w:rPr>
          <w:rFonts w:cs="Times New Roman"/>
        </w:rPr>
        <w:t>ta una curva di domanda lineare</w:t>
      </w:r>
      <w:r>
        <w:rPr>
          <w:rFonts w:cs="Times New Roman"/>
        </w:rPr>
        <w:t>, m</w:t>
      </w:r>
      <w:r w:rsidRPr="00B53365">
        <w:rPr>
          <w:rFonts w:cs="Times New Roman"/>
        </w:rPr>
        <w:t>uovendosi dall'intercetta verticale</w:t>
      </w:r>
      <w:r>
        <w:rPr>
          <w:rFonts w:cs="Times New Roman"/>
        </w:rPr>
        <w:t xml:space="preserve"> </w:t>
      </w:r>
      <w:r w:rsidRPr="00B53365">
        <w:rPr>
          <w:rFonts w:cs="Times New Roman"/>
        </w:rPr>
        <w:t xml:space="preserve">verso </w:t>
      </w:r>
      <w:r>
        <w:rPr>
          <w:rFonts w:cs="Times New Roman"/>
        </w:rPr>
        <w:t>l’asse</w:t>
      </w:r>
      <w:r w:rsidRPr="00B53365">
        <w:rPr>
          <w:rFonts w:cs="Times New Roman"/>
        </w:rPr>
        <w:t xml:space="preserve"> orizzontale</w:t>
      </w:r>
      <w:r>
        <w:rPr>
          <w:rFonts w:cs="Times New Roman"/>
        </w:rPr>
        <w:t xml:space="preserve"> (su cui si rappresenta</w:t>
      </w:r>
      <w:r w:rsidR="00917A32">
        <w:rPr>
          <w:rFonts w:cs="Times New Roman"/>
        </w:rPr>
        <w:t>no</w:t>
      </w:r>
      <w:r>
        <w:rPr>
          <w:rFonts w:cs="Times New Roman"/>
        </w:rPr>
        <w:t xml:space="preserve"> l</w:t>
      </w:r>
      <w:r w:rsidR="00917A32">
        <w:rPr>
          <w:rFonts w:cs="Times New Roman"/>
        </w:rPr>
        <w:t>e</w:t>
      </w:r>
      <w:r>
        <w:rPr>
          <w:rFonts w:cs="Times New Roman"/>
        </w:rPr>
        <w:t xml:space="preserve"> quantità)</w:t>
      </w:r>
      <w:r w:rsidRPr="00B53365">
        <w:rPr>
          <w:rFonts w:cs="Times New Roman"/>
        </w:rPr>
        <w:t>:</w:t>
      </w:r>
    </w:p>
    <w:p w:rsidR="00C941B9" w:rsidRPr="00B53365" w:rsidRDefault="00C941B9" w:rsidP="0011455B">
      <w:pPr>
        <w:pStyle w:val="Paragrafoelenco"/>
        <w:numPr>
          <w:ilvl w:val="0"/>
          <w:numId w:val="16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la spesa totale aumenta;</w:t>
      </w:r>
    </w:p>
    <w:p w:rsidR="00C941B9" w:rsidRPr="00B53365" w:rsidRDefault="00C941B9" w:rsidP="0011455B">
      <w:pPr>
        <w:pStyle w:val="Paragrafoelenco"/>
        <w:numPr>
          <w:ilvl w:val="0"/>
          <w:numId w:val="16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la curva diventa più elastica;</w:t>
      </w:r>
    </w:p>
    <w:p w:rsidR="00C941B9" w:rsidRPr="00B53365" w:rsidRDefault="00C941B9" w:rsidP="0011455B">
      <w:pPr>
        <w:pStyle w:val="Paragrafoelenco"/>
        <w:numPr>
          <w:ilvl w:val="0"/>
          <w:numId w:val="16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 w:rsidRPr="00B53365">
        <w:rPr>
          <w:rFonts w:cs="Times New Roman"/>
          <w:shd w:val="clear" w:color="auto" w:fill="FFFF00"/>
        </w:rPr>
        <w:t>la curva diventa più anelastica;</w:t>
      </w:r>
    </w:p>
    <w:p w:rsidR="00C941B9" w:rsidRPr="00B53365" w:rsidRDefault="00C941B9" w:rsidP="0011455B">
      <w:pPr>
        <w:pStyle w:val="Paragrafoelenco"/>
        <w:numPr>
          <w:ilvl w:val="0"/>
          <w:numId w:val="16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la variazione percentuale dei prezzi è uguale alla variazione percentuale della quantità domandata.</w:t>
      </w:r>
    </w:p>
    <w:p w:rsidR="00C941B9" w:rsidRPr="00B53365" w:rsidRDefault="00C941B9" w:rsidP="008C5DA6">
      <w:pPr>
        <w:pStyle w:val="Standard"/>
        <w:tabs>
          <w:tab w:val="left" w:pos="426"/>
        </w:tabs>
        <w:ind w:left="284" w:hanging="284"/>
        <w:jc w:val="both"/>
        <w:rPr>
          <w:rFonts w:cs="Times New Roman"/>
        </w:rPr>
      </w:pPr>
    </w:p>
    <w:p w:rsidR="0035447F" w:rsidRPr="00C05DB2" w:rsidRDefault="0035447F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C05DB2">
        <w:rPr>
          <w:rFonts w:cs="Times New Roman"/>
        </w:rPr>
        <w:t>X ed Y sono due beni sostituti. Allora:</w:t>
      </w:r>
    </w:p>
    <w:p w:rsidR="0035447F" w:rsidRPr="00C05DB2" w:rsidRDefault="0035447F" w:rsidP="0011455B">
      <w:pPr>
        <w:pStyle w:val="Paragrafoelenco"/>
        <w:numPr>
          <w:ilvl w:val="0"/>
          <w:numId w:val="34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C05DB2">
        <w:rPr>
          <w:rFonts w:cs="Times New Roman"/>
        </w:rPr>
        <w:t>Il saggio marginale di sostituzione tra X e Y è crescente lungo la generica curva di indifferenza;</w:t>
      </w:r>
    </w:p>
    <w:p w:rsidR="0035447F" w:rsidRPr="00C05DB2" w:rsidRDefault="0035447F" w:rsidP="0011455B">
      <w:pPr>
        <w:pStyle w:val="Paragrafoelenco"/>
        <w:numPr>
          <w:ilvl w:val="0"/>
          <w:numId w:val="34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C05DB2">
        <w:rPr>
          <w:rFonts w:cs="Times New Roman"/>
        </w:rPr>
        <w:t>L'elasticità incrociata della quantità domandata di X rispetto al prezzo di Y è negativa;</w:t>
      </w:r>
    </w:p>
    <w:p w:rsidR="0035447F" w:rsidRPr="00C05DB2" w:rsidRDefault="0035447F" w:rsidP="0011455B">
      <w:pPr>
        <w:pStyle w:val="Paragrafoelenco"/>
        <w:numPr>
          <w:ilvl w:val="0"/>
          <w:numId w:val="34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C05DB2">
        <w:rPr>
          <w:rFonts w:cs="Times New Roman"/>
        </w:rPr>
        <w:t>l'utilità marginale associata ad X è nulla;</w:t>
      </w:r>
    </w:p>
    <w:p w:rsidR="0035447F" w:rsidRPr="00C05DB2" w:rsidRDefault="0035447F" w:rsidP="0011455B">
      <w:pPr>
        <w:pStyle w:val="Paragrafoelenco"/>
        <w:numPr>
          <w:ilvl w:val="0"/>
          <w:numId w:val="34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 w:rsidRPr="00C05DB2">
        <w:rPr>
          <w:rFonts w:cs="Times New Roman"/>
          <w:shd w:val="clear" w:color="auto" w:fill="FFFF00"/>
        </w:rPr>
        <w:t>Se il prezzo di X aumenta, in equilibrio, il consumatore aumenta il consumo del bene Y;</w:t>
      </w:r>
    </w:p>
    <w:p w:rsidR="00C941B9" w:rsidRPr="00B53365" w:rsidRDefault="00C941B9" w:rsidP="008C5DA6">
      <w:pPr>
        <w:pStyle w:val="Standard"/>
        <w:tabs>
          <w:tab w:val="left" w:pos="426"/>
        </w:tabs>
        <w:ind w:left="284" w:hanging="284"/>
        <w:jc w:val="both"/>
        <w:rPr>
          <w:rFonts w:cs="Times New Roman"/>
        </w:rPr>
      </w:pPr>
    </w:p>
    <w:p w:rsidR="00C941B9" w:rsidRPr="00B53365" w:rsidRDefault="00C941B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B53365">
        <w:rPr>
          <w:rFonts w:cs="Times New Roman"/>
        </w:rPr>
        <w:t>X ed Y sono due beni complementari. Allora:</w:t>
      </w:r>
    </w:p>
    <w:p w:rsidR="00C941B9" w:rsidRPr="00B53365" w:rsidRDefault="00C941B9" w:rsidP="0011455B">
      <w:pPr>
        <w:pStyle w:val="Paragrafoelenco"/>
        <w:numPr>
          <w:ilvl w:val="0"/>
          <w:numId w:val="18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Il saggio marginale di sostituzione tra X e Y è costante lungo la generica curva di indifferenza;</w:t>
      </w:r>
    </w:p>
    <w:p w:rsidR="00C941B9" w:rsidRPr="00B53365" w:rsidRDefault="00C941B9" w:rsidP="0011455B">
      <w:pPr>
        <w:pStyle w:val="Paragrafoelenco"/>
        <w:numPr>
          <w:ilvl w:val="0"/>
          <w:numId w:val="18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 w:rsidRPr="00B53365">
        <w:rPr>
          <w:rFonts w:cs="Times New Roman"/>
          <w:shd w:val="clear" w:color="auto" w:fill="FFFF00"/>
        </w:rPr>
        <w:t>Se il prezzo di X aumenta, in equilibrio, il consumatore riduce il consumo del bene Y;</w:t>
      </w:r>
    </w:p>
    <w:p w:rsidR="00C941B9" w:rsidRPr="00B53365" w:rsidRDefault="00C941B9" w:rsidP="0011455B">
      <w:pPr>
        <w:pStyle w:val="Paragrafoelenco"/>
        <w:numPr>
          <w:ilvl w:val="0"/>
          <w:numId w:val="18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L'elasticità incrociata della quantità domandata di X rispetto al prezzo di Y è positiva;</w:t>
      </w:r>
    </w:p>
    <w:p w:rsidR="00C941B9" w:rsidRPr="00B53365" w:rsidRDefault="00C941B9" w:rsidP="0011455B">
      <w:pPr>
        <w:pStyle w:val="Paragrafoelenco"/>
        <w:numPr>
          <w:ilvl w:val="0"/>
          <w:numId w:val="18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>Un aumento nella quantità consumata di X genera sempre un aumento di utilità.</w:t>
      </w:r>
    </w:p>
    <w:p w:rsidR="00C941B9" w:rsidRPr="00B53365" w:rsidRDefault="00C941B9" w:rsidP="008C5DA6">
      <w:pPr>
        <w:pStyle w:val="Standard"/>
        <w:tabs>
          <w:tab w:val="left" w:pos="426"/>
        </w:tabs>
        <w:ind w:left="284" w:hanging="284"/>
        <w:jc w:val="both"/>
        <w:rPr>
          <w:rFonts w:cs="Times New Roman"/>
        </w:rPr>
      </w:pPr>
    </w:p>
    <w:p w:rsidR="00C941B9" w:rsidRPr="00B53365" w:rsidRDefault="00C941B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B53365">
        <w:rPr>
          <w:rFonts w:cs="Times New Roman"/>
        </w:rPr>
        <w:t>Si consideri una situazione in cui le imprese fronteggiano la medesima funzione di costo caratterizzata da costi marginali costanti e costi fissi nulli. La domanda di mercato è lineare ed inclinata negativamente. Allora:</w:t>
      </w:r>
    </w:p>
    <w:p w:rsidR="00C941B9" w:rsidRPr="00347147" w:rsidRDefault="00C941B9" w:rsidP="0011455B">
      <w:pPr>
        <w:pStyle w:val="Paragrafoelenco"/>
        <w:numPr>
          <w:ilvl w:val="0"/>
          <w:numId w:val="19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347147">
        <w:rPr>
          <w:rFonts w:cs="Times New Roman"/>
        </w:rPr>
        <w:t>Nell'equilibrio di lungo periodo di un mercato perfettamente concorrenziale, il prezzo è superiore al costo marginale;</w:t>
      </w:r>
    </w:p>
    <w:p w:rsidR="00C941B9" w:rsidRPr="00347147" w:rsidRDefault="00C941B9" w:rsidP="0011455B">
      <w:pPr>
        <w:pStyle w:val="Paragrafoelenco"/>
        <w:numPr>
          <w:ilvl w:val="0"/>
          <w:numId w:val="19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 w:rsidRPr="00347147">
        <w:rPr>
          <w:rFonts w:cs="Times New Roman"/>
          <w:shd w:val="clear" w:color="auto" w:fill="FFFF00"/>
        </w:rPr>
        <w:t xml:space="preserve">Il benessere </w:t>
      </w:r>
      <w:r>
        <w:rPr>
          <w:rFonts w:cs="Times New Roman"/>
          <w:shd w:val="clear" w:color="auto" w:fill="FFFF00"/>
        </w:rPr>
        <w:t>sociale</w:t>
      </w:r>
      <w:r w:rsidRPr="00347147">
        <w:rPr>
          <w:rFonts w:cs="Times New Roman"/>
          <w:shd w:val="clear" w:color="auto" w:fill="FFFF00"/>
        </w:rPr>
        <w:t xml:space="preserve"> associato all'equilibrio monopolistico è inferiore a quello associato all'equilibrio di lungo periodo di un mercato perfettamente concorrenziale;</w:t>
      </w:r>
    </w:p>
    <w:p w:rsidR="00C941B9" w:rsidRPr="00347147" w:rsidRDefault="00C941B9" w:rsidP="0011455B">
      <w:pPr>
        <w:pStyle w:val="Paragrafoelenco"/>
        <w:numPr>
          <w:ilvl w:val="0"/>
          <w:numId w:val="19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347147">
        <w:rPr>
          <w:rFonts w:cs="Times New Roman"/>
        </w:rPr>
        <w:t>Il surplus del consumatore associato all'equilibrio monopolistico è maggiore di quello associato all'equilibrio di lungo periodo di un mercato perfettamente concorrenziale;</w:t>
      </w:r>
    </w:p>
    <w:p w:rsidR="00C941B9" w:rsidRPr="00347147" w:rsidRDefault="00C941B9" w:rsidP="0011455B">
      <w:pPr>
        <w:pStyle w:val="Paragrafoelenco"/>
        <w:numPr>
          <w:ilvl w:val="0"/>
          <w:numId w:val="19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347147">
        <w:rPr>
          <w:rFonts w:cs="Times New Roman"/>
        </w:rPr>
        <w:t>La quantità di equilibrio monopolistico è maggiore di quella associata all'equilibrio di lungo periodo di un mercato perfettamente concorrenziale.</w:t>
      </w:r>
    </w:p>
    <w:p w:rsidR="00C941B9" w:rsidRPr="00B53365" w:rsidRDefault="00C941B9" w:rsidP="008C5DA6">
      <w:pPr>
        <w:pStyle w:val="Standard"/>
        <w:tabs>
          <w:tab w:val="left" w:pos="426"/>
        </w:tabs>
        <w:ind w:left="284" w:hanging="284"/>
        <w:jc w:val="both"/>
        <w:rPr>
          <w:rFonts w:cs="Times New Roman"/>
        </w:rPr>
      </w:pPr>
    </w:p>
    <w:p w:rsidR="00C941B9" w:rsidRPr="00B53365" w:rsidRDefault="00C941B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B53365">
        <w:rPr>
          <w:rFonts w:cs="Times New Roman"/>
        </w:rPr>
        <w:t>Si considerino due imprese oligopolistiche che fronteggiano una domanda di mercato lineare e negativamente inclinata. Le due imprese fronteggiano la medesima funzione di costo caratterizzata da costi marginali costanti e costi fissi nulli. Allora:</w:t>
      </w:r>
    </w:p>
    <w:p w:rsidR="00C941B9" w:rsidRPr="00B53365" w:rsidRDefault="00C941B9" w:rsidP="0011455B">
      <w:pPr>
        <w:pStyle w:val="Paragrafoelenco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 w:rsidRPr="00B53365">
        <w:rPr>
          <w:rFonts w:cs="Times New Roman"/>
          <w:shd w:val="clear" w:color="auto" w:fill="FFFF00"/>
        </w:rPr>
        <w:t xml:space="preserve">Il prezzo di equilibrio del duopolio </w:t>
      </w:r>
      <w:r w:rsidR="001F1E2C">
        <w:rPr>
          <w:rFonts w:cs="Times New Roman"/>
          <w:shd w:val="clear" w:color="auto" w:fill="FFFF00"/>
        </w:rPr>
        <w:t>secondo</w:t>
      </w:r>
      <w:r w:rsidRPr="00B53365">
        <w:rPr>
          <w:rFonts w:cs="Times New Roman"/>
          <w:shd w:val="clear" w:color="auto" w:fill="FFFF00"/>
        </w:rPr>
        <w:t xml:space="preserve"> Cournot è maggiore di quello associato all'equilibrio del duopolio </w:t>
      </w:r>
      <w:r w:rsidR="001F1E2C">
        <w:rPr>
          <w:rFonts w:cs="Times New Roman"/>
          <w:shd w:val="clear" w:color="auto" w:fill="FFFF00"/>
        </w:rPr>
        <w:t>secondo</w:t>
      </w:r>
      <w:r w:rsidRPr="00B53365">
        <w:rPr>
          <w:rFonts w:cs="Times New Roman"/>
          <w:shd w:val="clear" w:color="auto" w:fill="FFFF00"/>
        </w:rPr>
        <w:t xml:space="preserve"> Bertrand;</w:t>
      </w:r>
    </w:p>
    <w:p w:rsidR="00C941B9" w:rsidRPr="00B53365" w:rsidRDefault="00C941B9" w:rsidP="0011455B">
      <w:pPr>
        <w:pStyle w:val="Paragrafoelenco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 xml:space="preserve">La quantità di bene prodotto associata all'equilibrio del duopolio </w:t>
      </w:r>
      <w:r w:rsidR="008C5DA6">
        <w:rPr>
          <w:rFonts w:cs="Times New Roman"/>
        </w:rPr>
        <w:t>secondo</w:t>
      </w:r>
      <w:r w:rsidRPr="00B53365">
        <w:rPr>
          <w:rFonts w:cs="Times New Roman"/>
        </w:rPr>
        <w:t xml:space="preserve"> Cournot è maggiore di quella associata all'equilibrio del duopolio </w:t>
      </w:r>
      <w:r w:rsidR="008C5DA6">
        <w:rPr>
          <w:rFonts w:cs="Times New Roman"/>
        </w:rPr>
        <w:t>secondo</w:t>
      </w:r>
      <w:r w:rsidRPr="00B53365">
        <w:rPr>
          <w:rFonts w:cs="Times New Roman"/>
        </w:rPr>
        <w:t xml:space="preserve"> Bertrand;</w:t>
      </w:r>
    </w:p>
    <w:p w:rsidR="00C941B9" w:rsidRPr="00B53365" w:rsidRDefault="00C941B9" w:rsidP="0011455B">
      <w:pPr>
        <w:pStyle w:val="Paragrafoelenco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 xml:space="preserve">Il prezzo di equilibrio del duopolio </w:t>
      </w:r>
      <w:r w:rsidR="008C5DA6">
        <w:rPr>
          <w:rFonts w:cs="Times New Roman"/>
        </w:rPr>
        <w:t>secondo</w:t>
      </w:r>
      <w:r w:rsidRPr="00B53365">
        <w:rPr>
          <w:rFonts w:cs="Times New Roman"/>
        </w:rPr>
        <w:t xml:space="preserve"> Cournot è inferiore al costo marginale;</w:t>
      </w:r>
    </w:p>
    <w:p w:rsidR="00C941B9" w:rsidRPr="00B53365" w:rsidRDefault="00C941B9" w:rsidP="0011455B">
      <w:pPr>
        <w:pStyle w:val="Paragrafoelenco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 w:rsidRPr="00B53365">
        <w:rPr>
          <w:rFonts w:cs="Times New Roman"/>
        </w:rPr>
        <w:t xml:space="preserve">Non ci sono differenze nelle condizioni di equilibrio tra i due modelli di duopolio </w:t>
      </w:r>
      <w:r w:rsidR="008C5DA6">
        <w:rPr>
          <w:rFonts w:cs="Times New Roman"/>
        </w:rPr>
        <w:t>secondo</w:t>
      </w:r>
      <w:r w:rsidRPr="00B53365">
        <w:rPr>
          <w:rFonts w:cs="Times New Roman"/>
        </w:rPr>
        <w:t xml:space="preserve"> Cournot e </w:t>
      </w:r>
      <w:r w:rsidR="008C5DA6">
        <w:rPr>
          <w:rFonts w:cs="Times New Roman"/>
        </w:rPr>
        <w:t>secondo</w:t>
      </w:r>
      <w:r w:rsidRPr="00B53365">
        <w:rPr>
          <w:rFonts w:cs="Times New Roman"/>
        </w:rPr>
        <w:t xml:space="preserve"> Bertrand.</w:t>
      </w:r>
    </w:p>
    <w:p w:rsidR="00C941B9" w:rsidRPr="00B53365" w:rsidRDefault="00C941B9" w:rsidP="008C5DA6">
      <w:pPr>
        <w:pStyle w:val="Standard"/>
        <w:tabs>
          <w:tab w:val="left" w:pos="426"/>
        </w:tabs>
        <w:ind w:left="284" w:hanging="284"/>
        <w:rPr>
          <w:rFonts w:cs="Times New Roman"/>
        </w:rPr>
      </w:pPr>
    </w:p>
    <w:p w:rsidR="00C941B9" w:rsidRPr="00B53365" w:rsidRDefault="00C941B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Se per raddoppiare la quantità prodotta un’impresa deve aumentare di 1,5 volte l’impiego di tutti i suoi fattori produttivi, si dice che</w:t>
      </w:r>
      <w:r w:rsidRPr="00B53365">
        <w:rPr>
          <w:rFonts w:cs="Times New Roman"/>
        </w:rPr>
        <w:t>:</w:t>
      </w:r>
    </w:p>
    <w:p w:rsidR="00C941B9" w:rsidRPr="00B53365" w:rsidRDefault="00C941B9" w:rsidP="0011455B">
      <w:pPr>
        <w:pStyle w:val="Paragrafoelenco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>
        <w:rPr>
          <w:rFonts w:cs="Times New Roman"/>
        </w:rPr>
        <w:t>La funzione di produzione presenta rendimenti di scala costanti</w:t>
      </w:r>
      <w:r w:rsidRPr="00B53365">
        <w:rPr>
          <w:rFonts w:cs="Times New Roman"/>
        </w:rPr>
        <w:t>;</w:t>
      </w:r>
    </w:p>
    <w:p w:rsidR="00C941B9" w:rsidRPr="00B53365" w:rsidRDefault="00C941B9" w:rsidP="0011455B">
      <w:pPr>
        <w:pStyle w:val="Paragrafoelenco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cs="Times New Roman"/>
          <w:shd w:val="clear" w:color="auto" w:fill="FFFF00"/>
        </w:rPr>
      </w:pPr>
      <w:r>
        <w:rPr>
          <w:rFonts w:cs="Times New Roman"/>
          <w:shd w:val="clear" w:color="auto" w:fill="FFFF00"/>
        </w:rPr>
        <w:t xml:space="preserve">La </w:t>
      </w:r>
      <w:r w:rsidRPr="00D51442">
        <w:rPr>
          <w:rFonts w:cs="Times New Roman"/>
          <w:shd w:val="clear" w:color="auto" w:fill="FFFF00"/>
        </w:rPr>
        <w:t xml:space="preserve">funzione di produzione presenta rendimenti di scala </w:t>
      </w:r>
      <w:r>
        <w:rPr>
          <w:rFonts w:cs="Times New Roman"/>
          <w:shd w:val="clear" w:color="auto" w:fill="FFFF00"/>
        </w:rPr>
        <w:t>crescenti</w:t>
      </w:r>
      <w:r w:rsidRPr="00B53365">
        <w:rPr>
          <w:rFonts w:cs="Times New Roman"/>
          <w:shd w:val="clear" w:color="auto" w:fill="FFFF00"/>
        </w:rPr>
        <w:t>;</w:t>
      </w:r>
    </w:p>
    <w:p w:rsidR="00C941B9" w:rsidRPr="00B53365" w:rsidRDefault="00C941B9" w:rsidP="0011455B">
      <w:pPr>
        <w:pStyle w:val="Paragrafoelenco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>
        <w:rPr>
          <w:rFonts w:cs="Times New Roman"/>
        </w:rPr>
        <w:lastRenderedPageBreak/>
        <w:t>La</w:t>
      </w:r>
      <w:r w:rsidRPr="00B53365">
        <w:rPr>
          <w:rFonts w:cs="Times New Roman"/>
        </w:rPr>
        <w:t xml:space="preserve"> </w:t>
      </w:r>
      <w:r w:rsidRPr="00D51442">
        <w:rPr>
          <w:rFonts w:cs="Times New Roman"/>
        </w:rPr>
        <w:t xml:space="preserve">funzione di produzione presenta rendimenti di scala </w:t>
      </w:r>
      <w:r>
        <w:rPr>
          <w:rFonts w:cs="Times New Roman"/>
        </w:rPr>
        <w:t>decrescenti</w:t>
      </w:r>
      <w:r w:rsidRPr="00B53365">
        <w:rPr>
          <w:rFonts w:cs="Times New Roman"/>
        </w:rPr>
        <w:t>;</w:t>
      </w:r>
    </w:p>
    <w:p w:rsidR="00C941B9" w:rsidRPr="00B53365" w:rsidRDefault="00C941B9" w:rsidP="0011455B">
      <w:pPr>
        <w:pStyle w:val="Paragrafoelenco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cs="Times New Roman"/>
        </w:rPr>
      </w:pPr>
      <w:r>
        <w:rPr>
          <w:rFonts w:cs="Times New Roman"/>
        </w:rPr>
        <w:t>L’impresa sta fronteggiando delle diseconomie di scala</w:t>
      </w:r>
      <w:r w:rsidRPr="00B53365">
        <w:rPr>
          <w:rFonts w:cs="Times New Roman"/>
        </w:rPr>
        <w:t>.</w:t>
      </w:r>
    </w:p>
    <w:p w:rsidR="00DB6EB3" w:rsidRPr="00B53365" w:rsidRDefault="00DB6EB3" w:rsidP="008C5DA6">
      <w:pPr>
        <w:tabs>
          <w:tab w:val="left" w:pos="426"/>
        </w:tabs>
        <w:ind w:left="284" w:hanging="284"/>
        <w:jc w:val="both"/>
        <w:rPr>
          <w:rFonts w:cs="Times New Roman"/>
        </w:rPr>
      </w:pPr>
    </w:p>
    <w:p w:rsidR="00DB6EB3" w:rsidRPr="00B53365" w:rsidRDefault="00DB6EB3" w:rsidP="008C5DA6">
      <w:pPr>
        <w:widowControl/>
        <w:numPr>
          <w:ilvl w:val="0"/>
          <w:numId w:val="15"/>
        </w:numPr>
        <w:tabs>
          <w:tab w:val="left" w:pos="426"/>
        </w:tabs>
        <w:suppressAutoHyphens w:val="0"/>
        <w:autoSpaceDN/>
        <w:ind w:left="284" w:right="-36" w:hanging="284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Il saldo primario del bilancio dello Stato corrisponde a: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right="-36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il saldo delle partite correnti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right="-36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il saldo del conto capitale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right="-36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il saldo delle partite correnti + il saldo del conto capitale</w:t>
      </w:r>
    </w:p>
    <w:p w:rsidR="00DB6EB3" w:rsidRPr="00347147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right="-36" w:firstLine="0"/>
        <w:jc w:val="both"/>
        <w:textAlignment w:val="auto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la somma algebrica del saldo delle partite correnti e del saldo del conto capitale al netto della spesa per interessi</w:t>
      </w:r>
    </w:p>
    <w:p w:rsidR="00DB6EB3" w:rsidRPr="00B53365" w:rsidRDefault="00DB6EB3" w:rsidP="008C5DA6">
      <w:pPr>
        <w:tabs>
          <w:tab w:val="left" w:pos="426"/>
          <w:tab w:val="left" w:pos="567"/>
        </w:tabs>
        <w:ind w:left="284" w:right="-36" w:hanging="284"/>
        <w:jc w:val="both"/>
        <w:rPr>
          <w:rFonts w:cs="Times New Roman"/>
          <w:highlight w:val="yellow"/>
        </w:rPr>
      </w:pPr>
    </w:p>
    <w:p w:rsidR="00DB6EB3" w:rsidRPr="00B53365" w:rsidRDefault="00DB6EB3" w:rsidP="008C5DA6">
      <w:pPr>
        <w:widowControl/>
        <w:numPr>
          <w:ilvl w:val="0"/>
          <w:numId w:val="15"/>
        </w:numPr>
        <w:tabs>
          <w:tab w:val="left" w:pos="426"/>
        </w:tabs>
        <w:suppressAutoHyphens w:val="0"/>
        <w:autoSpaceDN/>
        <w:ind w:left="284" w:right="-82" w:hanging="284"/>
        <w:textAlignment w:val="auto"/>
        <w:rPr>
          <w:rFonts w:cs="Times New Roman"/>
        </w:rPr>
      </w:pPr>
      <w:r w:rsidRPr="00B53365">
        <w:rPr>
          <w:rFonts w:cs="Times New Roman"/>
        </w:rPr>
        <w:t>Il coefficiente di riserva delle banche è: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la quota di depositi bancari che gli individui detengono per fronteggiare eventi futuri imprevisti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426"/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la quantità di circolante che gli individui detengono in misura percentuale sul totale dei loro depositi a vista</w:t>
      </w:r>
    </w:p>
    <w:p w:rsidR="00DB6EB3" w:rsidRPr="00B53365" w:rsidRDefault="00DB6EB3" w:rsidP="008C5DA6">
      <w:pPr>
        <w:pStyle w:val="Rientrocorpodeltesto"/>
        <w:numPr>
          <w:ilvl w:val="1"/>
          <w:numId w:val="15"/>
        </w:numPr>
        <w:tabs>
          <w:tab w:val="left" w:pos="426"/>
          <w:tab w:val="left" w:pos="567"/>
          <w:tab w:val="left" w:pos="851"/>
        </w:tabs>
        <w:spacing w:after="0"/>
        <w:ind w:left="284" w:firstLine="0"/>
        <w:rPr>
          <w:rFonts w:cs="Times New Roman"/>
        </w:rPr>
      </w:pPr>
      <w:r w:rsidRPr="00B53365">
        <w:rPr>
          <w:rFonts w:cs="Times New Roman"/>
        </w:rPr>
        <w:t>il tasso di interesse corrisposto ai detentori dei titoli del debito pubblico</w:t>
      </w:r>
    </w:p>
    <w:p w:rsidR="00DB6EB3" w:rsidRPr="00347147" w:rsidRDefault="00DB6EB3" w:rsidP="008C5DA6">
      <w:pPr>
        <w:pStyle w:val="Rientrocorpodeltesto"/>
        <w:numPr>
          <w:ilvl w:val="1"/>
          <w:numId w:val="15"/>
        </w:numPr>
        <w:tabs>
          <w:tab w:val="left" w:pos="426"/>
          <w:tab w:val="left" w:pos="567"/>
          <w:tab w:val="left" w:pos="851"/>
        </w:tabs>
        <w:spacing w:after="0"/>
        <w:ind w:left="284" w:firstLine="0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la quota dei depositi bancari che le banche detengono sotto forma di riserva</w:t>
      </w:r>
    </w:p>
    <w:p w:rsidR="00DB6EB3" w:rsidRPr="00B53365" w:rsidRDefault="00DB6EB3" w:rsidP="008C5DA6">
      <w:pPr>
        <w:tabs>
          <w:tab w:val="left" w:pos="426"/>
        </w:tabs>
        <w:ind w:left="284" w:right="-82" w:hanging="284"/>
        <w:jc w:val="both"/>
        <w:rPr>
          <w:rFonts w:cs="Times New Roman"/>
        </w:rPr>
      </w:pPr>
    </w:p>
    <w:p w:rsidR="00DB6EB3" w:rsidRPr="00347147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ind w:left="284" w:right="-82" w:hanging="284"/>
        <w:jc w:val="both"/>
        <w:rPr>
          <w:rFonts w:cs="Times New Roman"/>
        </w:rPr>
      </w:pPr>
      <w:r w:rsidRPr="00347147">
        <w:rPr>
          <w:rFonts w:cs="Times New Roman"/>
        </w:rPr>
        <w:t>Data la curva di Phillips aumentata per le aspettative di inflazione, una riduzione del tasso atteso di inflazione comporta:</w:t>
      </w:r>
    </w:p>
    <w:p w:rsidR="00DB6EB3" w:rsidRPr="00B53365" w:rsidRDefault="00DB6EB3" w:rsidP="008C5DA6">
      <w:pPr>
        <w:widowControl/>
        <w:numPr>
          <w:ilvl w:val="2"/>
          <w:numId w:val="32"/>
        </w:numPr>
        <w:tabs>
          <w:tab w:val="left" w:pos="426"/>
          <w:tab w:val="left" w:pos="567"/>
        </w:tabs>
        <w:suppressAutoHyphens w:val="0"/>
        <w:autoSpaceDN/>
        <w:ind w:left="284" w:right="-82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 movimento lungo la curva di Phillips di periodo breve</w:t>
      </w:r>
    </w:p>
    <w:p w:rsidR="00DB6EB3" w:rsidRPr="00347147" w:rsidRDefault="00DB6EB3" w:rsidP="008C5DA6">
      <w:pPr>
        <w:widowControl/>
        <w:numPr>
          <w:ilvl w:val="2"/>
          <w:numId w:val="32"/>
        </w:numPr>
        <w:tabs>
          <w:tab w:val="left" w:pos="426"/>
          <w:tab w:val="left" w:pos="567"/>
        </w:tabs>
        <w:suppressAutoHyphens w:val="0"/>
        <w:autoSpaceDN/>
        <w:ind w:left="284" w:right="-82" w:firstLine="0"/>
        <w:jc w:val="both"/>
        <w:textAlignment w:val="auto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uno spostamento verso il basso della curva di Phillips di breve periodo</w:t>
      </w:r>
    </w:p>
    <w:p w:rsidR="00DB6EB3" w:rsidRPr="00B53365" w:rsidRDefault="00DB6EB3" w:rsidP="008C5DA6">
      <w:pPr>
        <w:widowControl/>
        <w:numPr>
          <w:ilvl w:val="2"/>
          <w:numId w:val="32"/>
        </w:numPr>
        <w:tabs>
          <w:tab w:val="left" w:pos="426"/>
          <w:tab w:val="left" w:pos="567"/>
        </w:tabs>
        <w:suppressAutoHyphens w:val="0"/>
        <w:autoSpaceDN/>
        <w:ind w:left="284" w:right="-82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 diminuzione del tasso naturale di disoccupazione</w:t>
      </w:r>
    </w:p>
    <w:p w:rsidR="00DB6EB3" w:rsidRPr="00B53365" w:rsidRDefault="00DB6EB3" w:rsidP="008C5DA6">
      <w:pPr>
        <w:widowControl/>
        <w:numPr>
          <w:ilvl w:val="2"/>
          <w:numId w:val="32"/>
        </w:numPr>
        <w:tabs>
          <w:tab w:val="left" w:pos="426"/>
          <w:tab w:val="left" w:pos="567"/>
        </w:tabs>
        <w:suppressAutoHyphens w:val="0"/>
        <w:autoSpaceDN/>
        <w:ind w:left="284" w:right="-82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uno spostamento verso l’alto della curva di Phillips di breve periodo</w:t>
      </w:r>
    </w:p>
    <w:p w:rsidR="00DB6EB3" w:rsidRPr="002A75A0" w:rsidRDefault="00DB6EB3" w:rsidP="008C5DA6">
      <w:pPr>
        <w:tabs>
          <w:tab w:val="left" w:pos="426"/>
        </w:tabs>
        <w:ind w:left="284" w:right="-82" w:hanging="284"/>
        <w:jc w:val="both"/>
        <w:rPr>
          <w:rFonts w:cs="Times New Roman"/>
          <w:sz w:val="22"/>
          <w:szCs w:val="22"/>
        </w:rPr>
      </w:pPr>
    </w:p>
    <w:p w:rsidR="00DB6EB3" w:rsidRPr="00347147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ind w:left="284" w:right="-82" w:hanging="284"/>
        <w:jc w:val="both"/>
        <w:rPr>
          <w:rFonts w:cs="Times New Roman"/>
        </w:rPr>
      </w:pPr>
      <w:r w:rsidRPr="00347147">
        <w:rPr>
          <w:rFonts w:cs="Times New Roman"/>
        </w:rPr>
        <w:t>La curva LM rappresenta:</w:t>
      </w:r>
    </w:p>
    <w:p w:rsidR="00DB6EB3" w:rsidRPr="00347147" w:rsidRDefault="00DB6EB3" w:rsidP="008C5DA6">
      <w:pPr>
        <w:pStyle w:val="Paragrafoelenco"/>
        <w:numPr>
          <w:ilvl w:val="1"/>
          <w:numId w:val="15"/>
        </w:numPr>
        <w:tabs>
          <w:tab w:val="left" w:pos="426"/>
          <w:tab w:val="left" w:pos="567"/>
        </w:tabs>
        <w:ind w:left="284" w:right="-82" w:firstLine="0"/>
        <w:jc w:val="both"/>
        <w:rPr>
          <w:rFonts w:cs="Times New Roman"/>
        </w:rPr>
      </w:pPr>
      <w:r w:rsidRPr="00347147">
        <w:rPr>
          <w:rFonts w:cs="Times New Roman"/>
        </w:rPr>
        <w:t>i valori di reddito e tasso di interesse per i quali vi è equilibrio sia nel mercato della moneta sia nel mercato dei beni</w:t>
      </w:r>
    </w:p>
    <w:p w:rsidR="00DB6EB3" w:rsidRPr="00347147" w:rsidRDefault="00DB6EB3" w:rsidP="008C5DA6">
      <w:pPr>
        <w:pStyle w:val="Paragrafoelenco"/>
        <w:numPr>
          <w:ilvl w:val="1"/>
          <w:numId w:val="15"/>
        </w:numPr>
        <w:tabs>
          <w:tab w:val="left" w:pos="426"/>
          <w:tab w:val="left" w:pos="567"/>
        </w:tabs>
        <w:ind w:left="284" w:firstLine="0"/>
        <w:rPr>
          <w:rFonts w:cs="Times New Roman"/>
        </w:rPr>
      </w:pPr>
      <w:r w:rsidRPr="00347147">
        <w:rPr>
          <w:rFonts w:cs="Times New Roman"/>
        </w:rPr>
        <w:t>i valori di reddito e tasso di interesse in corrispondenza dei quali vi è equilibrio nel mercato dei beni</w:t>
      </w:r>
    </w:p>
    <w:p w:rsidR="00DB6EB3" w:rsidRPr="00347147" w:rsidRDefault="00DB6EB3" w:rsidP="008C5DA6">
      <w:pPr>
        <w:pStyle w:val="Paragrafoelenco"/>
        <w:numPr>
          <w:ilvl w:val="1"/>
          <w:numId w:val="15"/>
        </w:numPr>
        <w:tabs>
          <w:tab w:val="left" w:pos="426"/>
          <w:tab w:val="left" w:pos="567"/>
        </w:tabs>
        <w:ind w:left="284" w:firstLine="0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i valori di reddito e tasso di interesse in corrispondenza dei quali vi è equilibrio nel mercato della moneta</w:t>
      </w:r>
    </w:p>
    <w:p w:rsidR="00DB6EB3" w:rsidRPr="00347147" w:rsidRDefault="00DB6EB3" w:rsidP="008C5DA6">
      <w:pPr>
        <w:pStyle w:val="Paragrafoelenco"/>
        <w:numPr>
          <w:ilvl w:val="1"/>
          <w:numId w:val="15"/>
        </w:numPr>
        <w:tabs>
          <w:tab w:val="left" w:pos="426"/>
          <w:tab w:val="left" w:pos="567"/>
        </w:tabs>
        <w:ind w:left="284" w:firstLine="0"/>
        <w:rPr>
          <w:rFonts w:cs="Times New Roman"/>
        </w:rPr>
      </w:pPr>
      <w:r w:rsidRPr="00347147">
        <w:rPr>
          <w:rFonts w:cs="Times New Roman"/>
        </w:rPr>
        <w:t>i valori di reddito e tasso di interesse in corrispondenza dei quali il reddito è uguale al consumo</w:t>
      </w:r>
    </w:p>
    <w:p w:rsidR="00DB6EB3" w:rsidRPr="002A75A0" w:rsidRDefault="00DB6EB3" w:rsidP="008C5DA6">
      <w:pPr>
        <w:tabs>
          <w:tab w:val="left" w:pos="426"/>
        </w:tabs>
        <w:ind w:left="284" w:hanging="284"/>
        <w:jc w:val="both"/>
        <w:rPr>
          <w:rFonts w:cs="Times New Roman"/>
          <w:sz w:val="22"/>
          <w:szCs w:val="22"/>
          <w:u w:val="single"/>
        </w:rPr>
      </w:pPr>
    </w:p>
    <w:p w:rsidR="00DB6EB3" w:rsidRPr="00B53365" w:rsidRDefault="00DB6EB3" w:rsidP="008C5DA6">
      <w:pPr>
        <w:widowControl/>
        <w:numPr>
          <w:ilvl w:val="0"/>
          <w:numId w:val="15"/>
        </w:numPr>
        <w:tabs>
          <w:tab w:val="left" w:pos="426"/>
        </w:tabs>
        <w:suppressAutoHyphens w:val="0"/>
        <w:autoSpaceDN/>
        <w:ind w:left="284" w:hanging="284"/>
        <w:textAlignment w:val="auto"/>
        <w:rPr>
          <w:rFonts w:cs="Times New Roman"/>
        </w:rPr>
      </w:pPr>
      <w:r w:rsidRPr="00B53365">
        <w:rPr>
          <w:rFonts w:cs="Times New Roman"/>
        </w:rPr>
        <w:t>Le operazioni di mercato aperto: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textAlignment w:val="auto"/>
        <w:rPr>
          <w:rFonts w:cs="Times New Roman"/>
        </w:rPr>
      </w:pPr>
      <w:r w:rsidRPr="00B53365">
        <w:rPr>
          <w:rFonts w:cs="Times New Roman"/>
        </w:rPr>
        <w:t>consistono nell’acquisto o nella vendita di titoli da parte delle famiglie e delle imprese</w:t>
      </w:r>
    </w:p>
    <w:p w:rsidR="00DB6EB3" w:rsidRPr="00347147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textAlignment w:val="auto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consistono nell’acquisto o nella vendita di titoli del debito pubblico da parte delle banche centrali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textAlignment w:val="auto"/>
        <w:rPr>
          <w:rFonts w:cs="Times New Roman"/>
        </w:rPr>
      </w:pPr>
      <w:r w:rsidRPr="00B53365">
        <w:rPr>
          <w:rFonts w:cs="Times New Roman"/>
        </w:rPr>
        <w:t>consistono nell’acquisto o nella vendita di titoli del debito pubblico da parte delle banche commerciali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textAlignment w:val="auto"/>
        <w:rPr>
          <w:rFonts w:cs="Times New Roman"/>
        </w:rPr>
      </w:pPr>
      <w:r w:rsidRPr="00B53365">
        <w:rPr>
          <w:rFonts w:cs="Times New Roman"/>
        </w:rPr>
        <w:t>consistono nell’acquisto o nella vendita dei titoli del debito pubblico emessi quest’anno</w:t>
      </w:r>
    </w:p>
    <w:p w:rsidR="00DB6EB3" w:rsidRPr="002A75A0" w:rsidRDefault="00DB6EB3" w:rsidP="008C5DA6">
      <w:pPr>
        <w:tabs>
          <w:tab w:val="left" w:pos="426"/>
        </w:tabs>
        <w:ind w:left="284" w:hanging="284"/>
        <w:rPr>
          <w:rFonts w:cs="Times New Roman"/>
          <w:sz w:val="22"/>
          <w:szCs w:val="22"/>
        </w:rPr>
      </w:pPr>
    </w:p>
    <w:p w:rsidR="00DB6EB3" w:rsidRPr="00B53365" w:rsidRDefault="00DB6EB3" w:rsidP="008C5DA6">
      <w:pPr>
        <w:widowControl/>
        <w:numPr>
          <w:ilvl w:val="0"/>
          <w:numId w:val="15"/>
        </w:numPr>
        <w:tabs>
          <w:tab w:val="left" w:pos="426"/>
        </w:tabs>
        <w:suppressAutoHyphens w:val="0"/>
        <w:autoSpaceDN/>
        <w:ind w:left="284" w:right="-36" w:hanging="284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 aumento della spesa pubblica di 1 euro determina: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uno spostamento verso il basso della curva di spesa programmata pari ad 1 euro</w:t>
      </w:r>
    </w:p>
    <w:p w:rsidR="00DB6EB3" w:rsidRPr="00347147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  <w:highlight w:val="yellow"/>
        </w:rPr>
      </w:pPr>
      <w:r w:rsidRPr="00347147">
        <w:rPr>
          <w:rFonts w:cs="Times New Roman"/>
          <w:highlight w:val="yellow"/>
        </w:rPr>
        <w:t>uno spostamento verso destra della curva IS pari a 1/(1-PMC) euro (PMC=propensione marginale al consumo)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uno spostamento della curva LM</w:t>
      </w:r>
    </w:p>
    <w:p w:rsidR="00DB6EB3" w:rsidRPr="00B53365" w:rsidRDefault="00DB6EB3" w:rsidP="008C5DA6">
      <w:pPr>
        <w:widowControl/>
        <w:numPr>
          <w:ilvl w:val="1"/>
          <w:numId w:val="15"/>
        </w:numPr>
        <w:tabs>
          <w:tab w:val="left" w:pos="567"/>
        </w:tabs>
        <w:suppressAutoHyphens w:val="0"/>
        <w:autoSpaceDN/>
        <w:ind w:left="284" w:firstLine="0"/>
        <w:jc w:val="both"/>
        <w:textAlignment w:val="auto"/>
        <w:rPr>
          <w:rFonts w:cs="Times New Roman"/>
        </w:rPr>
      </w:pPr>
      <w:r w:rsidRPr="00B53365">
        <w:rPr>
          <w:rFonts w:cs="Times New Roman"/>
        </w:rPr>
        <w:t>una diminuzione del reddito di equilibrio</w:t>
      </w:r>
    </w:p>
    <w:p w:rsidR="00DB6EB3" w:rsidRPr="002A75A0" w:rsidRDefault="00DB6EB3" w:rsidP="008C5DA6">
      <w:pPr>
        <w:widowControl/>
        <w:tabs>
          <w:tab w:val="left" w:pos="426"/>
        </w:tabs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</w:rPr>
      </w:pPr>
    </w:p>
    <w:p w:rsidR="00DB6EB3" w:rsidRPr="00B53365" w:rsidRDefault="00DB6EB3" w:rsidP="008C5DA6">
      <w:pPr>
        <w:pStyle w:val="Corpo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La funzione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=(2-x)/(x+2)</m:t>
        </m:r>
      </m:oMath>
      <w:r w:rsidRPr="00B53365">
        <w:rPr>
          <w:rFonts w:ascii="Times New Roman" w:hAnsi="Times New Roman" w:cs="Times New Roman"/>
          <w:sz w:val="24"/>
          <w:szCs w:val="24"/>
        </w:rPr>
        <w:t xml:space="preserve"> ha come dominio:</w:t>
      </w:r>
    </w:p>
    <w:p w:rsidR="00DB6EB3" w:rsidRPr="00B53365" w:rsidRDefault="00DB6EB3" w:rsidP="008C5DA6">
      <w:pPr>
        <w:pStyle w:val="Corpo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tutta la retta reale</w:t>
      </w:r>
    </w:p>
    <w:p w:rsidR="00DB6EB3" w:rsidRPr="00B53365" w:rsidRDefault="00DB6EB3" w:rsidP="008C5DA6">
      <w:pPr>
        <w:pStyle w:val="Corpo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B5336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tutta la retta reale tranne il punto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x=-2</m:t>
        </m:r>
      </m:oMath>
    </w:p>
    <w:p w:rsidR="00DB6EB3" w:rsidRPr="00B53365" w:rsidRDefault="00DB6EB3" w:rsidP="008C5DA6">
      <w:pPr>
        <w:pStyle w:val="Corpo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tutta la retta reale tranne il punto </w:t>
      </w:r>
      <m:oMath>
        <m:r>
          <w:rPr>
            <w:rFonts w:ascii="Cambria Math" w:hAnsi="Cambria Math" w:cs="Times New Roman"/>
            <w:sz w:val="24"/>
            <w:szCs w:val="24"/>
          </w:rPr>
          <m:t>x=+2</m:t>
        </m:r>
      </m:oMath>
    </w:p>
    <w:p w:rsidR="00DB6EB3" w:rsidRDefault="00DB6EB3" w:rsidP="008C5DA6">
      <w:pPr>
        <w:pStyle w:val="Corpo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tutta la retta reale tranne i due punti </w:t>
      </w:r>
      <m:oMath>
        <m:r>
          <w:rPr>
            <w:rFonts w:ascii="Cambria Math" w:hAnsi="Cambria Math" w:cs="Times New Roman"/>
            <w:sz w:val="24"/>
            <w:szCs w:val="24"/>
          </w:rPr>
          <m:t>x=-2</m:t>
        </m:r>
      </m:oMath>
      <w:r w:rsidRPr="00B53365">
        <w:rPr>
          <w:rFonts w:ascii="Times New Roman" w:hAnsi="Times New Roman" w:cs="Times New Roman"/>
          <w:sz w:val="24"/>
          <w:szCs w:val="24"/>
        </w:rPr>
        <w:t xml:space="preserve"> ed </w:t>
      </w:r>
      <m:oMath>
        <m:r>
          <w:rPr>
            <w:rFonts w:ascii="Cambria Math" w:hAnsi="Cambria Math" w:cs="Times New Roman"/>
            <w:sz w:val="24"/>
            <w:szCs w:val="24"/>
          </w:rPr>
          <m:t>x=+2</m:t>
        </m:r>
      </m:oMath>
    </w:p>
    <w:p w:rsidR="002A75A0" w:rsidRPr="00B53365" w:rsidRDefault="002A75A0" w:rsidP="002A75A0">
      <w:pPr>
        <w:pStyle w:val="Corpo"/>
        <w:tabs>
          <w:tab w:val="left" w:pos="567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B6EB3" w:rsidRPr="00B53365" w:rsidRDefault="00DB6EB3" w:rsidP="008C5DA6">
      <w:pPr>
        <w:pStyle w:val="Corpo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La derivata della funzione </w:t>
      </w:r>
      <m:oMath>
        <m:r>
          <w:rPr>
            <w:rFonts w:ascii="Cambria Math" w:hAnsi="Cambria Math" w:cs="Times New Roman"/>
            <w:sz w:val="24"/>
            <w:szCs w:val="24"/>
          </w:rPr>
          <m:t>f(x)=ln(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+1)</m:t>
        </m:r>
      </m:oMath>
    </w:p>
    <w:p w:rsidR="00DB6EB3" w:rsidRPr="00B53365" w:rsidRDefault="00DB6EB3" w:rsidP="008C5DA6">
      <w:pPr>
        <w:pStyle w:val="Corpo"/>
        <w:numPr>
          <w:ilvl w:val="0"/>
          <w:numId w:val="23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è sempre strettamente positiva</w:t>
      </w:r>
    </w:p>
    <w:p w:rsidR="00DB6EB3" w:rsidRPr="00B53365" w:rsidRDefault="00DB6EB3" w:rsidP="008C5DA6">
      <w:pPr>
        <w:pStyle w:val="Corpo"/>
        <w:numPr>
          <w:ilvl w:val="0"/>
          <w:numId w:val="23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non si può calcolare nel punto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</w:p>
    <w:p w:rsidR="00DB6EB3" w:rsidRPr="00B53365" w:rsidRDefault="00DB6EB3" w:rsidP="008C5DA6">
      <w:pPr>
        <w:pStyle w:val="Corpo"/>
        <w:numPr>
          <w:ilvl w:val="0"/>
          <w:numId w:val="23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tende a 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  <w:r w:rsidRPr="00B53365">
        <w:rPr>
          <w:rFonts w:ascii="Times New Roman" w:hAnsi="Times New Roman" w:cs="Times New Roman"/>
          <w:sz w:val="24"/>
          <w:szCs w:val="24"/>
        </w:rPr>
        <w:t xml:space="preserve"> per </w:t>
      </w:r>
      <w:r w:rsidRPr="00B53365">
        <w:rPr>
          <w:rFonts w:ascii="Times New Roman" w:hAnsi="Times New Roman" w:cs="Times New Roman"/>
          <w:i/>
          <w:sz w:val="24"/>
          <w:szCs w:val="24"/>
        </w:rPr>
        <w:t>x</w:t>
      </w:r>
      <w:r w:rsidRPr="00B53365">
        <w:rPr>
          <w:rFonts w:ascii="Times New Roman" w:hAnsi="Times New Roman" w:cs="Times New Roman"/>
          <w:sz w:val="24"/>
          <w:szCs w:val="24"/>
        </w:rPr>
        <w:t xml:space="preserve"> che tende a </w:t>
      </w:r>
      <m:oMath>
        <m:r>
          <w:rPr>
            <w:rFonts w:ascii="Cambria Math" w:hAnsi="Cambria Math" w:cs="Times New Roman"/>
            <w:sz w:val="24"/>
            <w:szCs w:val="24"/>
          </w:rPr>
          <m:t>-∞</m:t>
        </m:r>
      </m:oMath>
    </w:p>
    <w:p w:rsidR="00DB6EB3" w:rsidRPr="00B53365" w:rsidRDefault="00DB6EB3" w:rsidP="008C5DA6">
      <w:pPr>
        <w:pStyle w:val="Corpo"/>
        <w:numPr>
          <w:ilvl w:val="0"/>
          <w:numId w:val="23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B53365">
        <w:rPr>
          <w:rFonts w:ascii="Times New Roman" w:hAnsi="Times New Roman" w:cs="Times New Roman"/>
          <w:sz w:val="24"/>
          <w:szCs w:val="24"/>
          <w:highlight w:val="yellow"/>
        </w:rPr>
        <w:t xml:space="preserve">tende a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 xml:space="preserve">0 </m:t>
        </m:r>
      </m:oMath>
      <w:r w:rsidRPr="00B53365">
        <w:rPr>
          <w:rFonts w:ascii="Times New Roman" w:hAnsi="Times New Roman" w:cs="Times New Roman"/>
          <w:sz w:val="24"/>
          <w:szCs w:val="24"/>
          <w:highlight w:val="yellow"/>
        </w:rPr>
        <w:t xml:space="preserve">per </w:t>
      </w:r>
      <w:r w:rsidRPr="00B53365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B53365">
        <w:rPr>
          <w:rFonts w:ascii="Times New Roman" w:hAnsi="Times New Roman" w:cs="Times New Roman"/>
          <w:sz w:val="24"/>
          <w:szCs w:val="24"/>
          <w:highlight w:val="yellow"/>
        </w:rPr>
        <w:t xml:space="preserve"> che tende a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-∞</m:t>
        </m:r>
      </m:oMath>
    </w:p>
    <w:p w:rsidR="00DB6EB3" w:rsidRPr="00B53365" w:rsidRDefault="00DB6EB3" w:rsidP="008C5DA6">
      <w:pPr>
        <w:pStyle w:val="Corpo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B6EB3" w:rsidRPr="00B53365" w:rsidRDefault="00DB6EB3" w:rsidP="008C5DA6">
      <w:pPr>
        <w:pStyle w:val="Corpo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Una primitiva della funzione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=1/(x+1)</m:t>
        </m:r>
      </m:oMath>
      <w:r w:rsidRPr="00B53365">
        <w:rPr>
          <w:rFonts w:ascii="Times New Roman" w:hAnsi="Times New Roman" w:cs="Times New Roman"/>
          <w:sz w:val="24"/>
          <w:szCs w:val="24"/>
        </w:rPr>
        <w:t xml:space="preserve"> vale</w:t>
      </w:r>
    </w:p>
    <w:p w:rsidR="00DB6EB3" w:rsidRPr="00B53365" w:rsidRDefault="00DB6EB3" w:rsidP="008C5DA6">
      <w:pPr>
        <w:pStyle w:val="Corpo"/>
        <w:numPr>
          <w:ilvl w:val="0"/>
          <w:numId w:val="2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r>
          <w:rPr>
            <w:rFonts w:ascii="Cambria Math" w:hAnsi="Cambria Math" w:cs="Times New Roman"/>
            <w:sz w:val="24"/>
            <w:szCs w:val="24"/>
          </w:rPr>
          <m:t>(x+1)</m:t>
        </m:r>
      </m:oMath>
      <w:r w:rsidRPr="00B53365">
        <w:rPr>
          <w:rFonts w:ascii="Times New Roman" w:hAnsi="Times New Roman" w:cs="Times New Roman"/>
          <w:sz w:val="24"/>
          <w:szCs w:val="24"/>
        </w:rPr>
        <w:t xml:space="preserve"> ed è definito in tutta la retta reale</w:t>
      </w:r>
    </w:p>
    <w:p w:rsidR="00DB6EB3" w:rsidRPr="00B53365" w:rsidRDefault="004361D3" w:rsidP="008C5DA6">
      <w:pPr>
        <w:pStyle w:val="Corpo"/>
        <w:numPr>
          <w:ilvl w:val="0"/>
          <w:numId w:val="2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  <w:highlight w:val="yellow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-x-1</m:t>
                </m:r>
              </m:e>
            </m:d>
          </m:e>
        </m:func>
      </m:oMath>
      <w:r w:rsidR="00DB6EB3" w:rsidRPr="00B53365">
        <w:rPr>
          <w:rFonts w:ascii="Times New Roman" w:hAnsi="Times New Roman" w:cs="Times New Roman"/>
          <w:sz w:val="24"/>
          <w:szCs w:val="24"/>
          <w:highlight w:val="yellow"/>
        </w:rPr>
        <w:t xml:space="preserve"> nell’intervallo (-5,-3)</w:t>
      </w:r>
    </w:p>
    <w:p w:rsidR="00DB6EB3" w:rsidRPr="00B53365" w:rsidRDefault="004361D3" w:rsidP="008C5DA6">
      <w:pPr>
        <w:pStyle w:val="Corpo"/>
        <w:numPr>
          <w:ilvl w:val="0"/>
          <w:numId w:val="2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</m:d>
          </m:e>
        </m:func>
      </m:oMath>
      <w:r w:rsidR="00DB6EB3" w:rsidRPr="00B53365">
        <w:rPr>
          <w:rFonts w:ascii="Times New Roman" w:hAnsi="Times New Roman" w:cs="Times New Roman"/>
          <w:sz w:val="24"/>
          <w:szCs w:val="24"/>
        </w:rPr>
        <w:t xml:space="preserve"> ed è definito in tutta la retta reale</w:t>
      </w:r>
    </w:p>
    <w:p w:rsidR="00DB6EB3" w:rsidRPr="00B53365" w:rsidRDefault="00DB6EB3" w:rsidP="008C5DA6">
      <w:pPr>
        <w:pStyle w:val="Corpo"/>
        <w:numPr>
          <w:ilvl w:val="0"/>
          <w:numId w:val="2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non si può calcolare nell’intervallo (1,2)</w:t>
      </w:r>
    </w:p>
    <w:p w:rsidR="00DB6EB3" w:rsidRPr="00B53365" w:rsidRDefault="00DB6EB3" w:rsidP="008C5DA6">
      <w:pPr>
        <w:pStyle w:val="Corpo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B6EB3" w:rsidRPr="00B53365" w:rsidRDefault="00DB6EB3" w:rsidP="008C5DA6">
      <w:pPr>
        <w:pStyle w:val="Corpo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Dato il sistema lineare Ax=b dove A è una matrice con 3 righe e 3 colonne, quale delle seguenti affermazioni è corretta:</w:t>
      </w:r>
    </w:p>
    <w:p w:rsidR="00DB6EB3" w:rsidRPr="00B53365" w:rsidRDefault="00DB6EB3" w:rsidP="008C5DA6">
      <w:pPr>
        <w:pStyle w:val="Corpo"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il rango di A può essere 4</w:t>
      </w:r>
    </w:p>
    <w:p w:rsidR="00DB6EB3" w:rsidRPr="00B53365" w:rsidRDefault="00DB6EB3" w:rsidP="008C5DA6">
      <w:pPr>
        <w:pStyle w:val="Corpo"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se il rango di A è 2 allora il sistema non ammette soluzione</w:t>
      </w:r>
    </w:p>
    <w:p w:rsidR="00DB6EB3" w:rsidRPr="00B53365" w:rsidRDefault="00DB6EB3" w:rsidP="008C5DA6">
      <w:pPr>
        <w:pStyle w:val="Corpo"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  <w:highlight w:val="yellow"/>
        </w:rPr>
        <w:t>se il rango di A è 3 allora il sistema ammette sempre un’unica soluzione</w:t>
      </w:r>
    </w:p>
    <w:p w:rsidR="00DB6EB3" w:rsidRPr="00B53365" w:rsidRDefault="00DB6EB3" w:rsidP="008C5DA6">
      <w:pPr>
        <w:pStyle w:val="Corpo"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>il sistema ammette soluzioni se e solo se il determinate di A è diverso da 0</w:t>
      </w:r>
    </w:p>
    <w:p w:rsidR="00DB6EB3" w:rsidRPr="00B53365" w:rsidRDefault="00DB6EB3" w:rsidP="008C5DA6">
      <w:pPr>
        <w:pStyle w:val="Corpo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B6EB3" w:rsidRPr="00B53365" w:rsidRDefault="00DB6EB3" w:rsidP="008C5DA6">
      <w:pPr>
        <w:pStyle w:val="Corpo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La derivata parziale rispetto alla variabile z della funzione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-z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5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B3" w:rsidRPr="00B53365" w:rsidRDefault="00DB6EB3" w:rsidP="008C5DA6">
      <w:pPr>
        <w:pStyle w:val="Corpo"/>
        <w:numPr>
          <w:ilvl w:val="0"/>
          <w:numId w:val="26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vale  </w:t>
      </w:r>
      <m:oMath>
        <m:r>
          <w:rPr>
            <w:rFonts w:ascii="Cambria Math" w:hAnsi="Cambria Math" w:cs="Times New Roman"/>
            <w:sz w:val="24"/>
            <w:szCs w:val="24"/>
          </w:rPr>
          <m:t>2x+3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2z-1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DB6EB3" w:rsidRPr="00B53365" w:rsidRDefault="00DB6EB3" w:rsidP="008C5DA6">
      <w:pPr>
        <w:pStyle w:val="Corpo"/>
        <w:numPr>
          <w:ilvl w:val="0"/>
          <w:numId w:val="26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vale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2z-1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DB6EB3" w:rsidRPr="00B53365" w:rsidRDefault="00DB6EB3" w:rsidP="008C5DA6">
      <w:pPr>
        <w:pStyle w:val="Corpo"/>
        <w:numPr>
          <w:ilvl w:val="0"/>
          <w:numId w:val="26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</w:rPr>
        <w:t xml:space="preserve">vale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-z</m:t>
            </m:r>
          </m:e>
        </m:d>
      </m:oMath>
    </w:p>
    <w:p w:rsidR="00DB6EB3" w:rsidRPr="00B53365" w:rsidRDefault="00DB6EB3" w:rsidP="008C5DA6">
      <w:pPr>
        <w:pStyle w:val="Corpo"/>
        <w:numPr>
          <w:ilvl w:val="0"/>
          <w:numId w:val="26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53365">
        <w:rPr>
          <w:rFonts w:ascii="Times New Roman" w:hAnsi="Times New Roman" w:cs="Times New Roman"/>
          <w:sz w:val="24"/>
          <w:szCs w:val="24"/>
          <w:highlight w:val="yellow"/>
        </w:rPr>
        <w:t xml:space="preserve">vale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2z-1</m:t>
            </m:r>
          </m:e>
        </m:d>
      </m:oMath>
    </w:p>
    <w:p w:rsidR="00DB6EB3" w:rsidRPr="00B53365" w:rsidRDefault="00DB6EB3" w:rsidP="008C5DA6">
      <w:pPr>
        <w:pStyle w:val="Corpo"/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B1CE9" w:rsidRPr="003B2DF5" w:rsidRDefault="00BB1CE9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3B2DF5">
        <w:rPr>
          <w:rFonts w:cs="Times New Roman"/>
        </w:rPr>
        <w:t xml:space="preserve">Sia X una variabile casuale con media </w:t>
      </w:r>
      <m:oMath>
        <m:r>
          <w:rPr>
            <w:rFonts w:ascii="Cambria Math" w:hAnsi="Cambria Math" w:cs="Times New Roman"/>
          </w:rPr>
          <m:t>μ</m:t>
        </m:r>
      </m:oMath>
      <w:r w:rsidRPr="003B2DF5">
        <w:rPr>
          <w:rFonts w:cs="Times New Roman"/>
          <w:i/>
        </w:rPr>
        <w:t>.</w:t>
      </w:r>
      <w:r w:rsidRPr="003B2DF5">
        <w:rPr>
          <w:rFonts w:cs="Times New Roman"/>
        </w:rPr>
        <w:t xml:space="preserve"> E(.) è l’operatore media. La varianza di X può essere espressa come:</w:t>
      </w:r>
    </w:p>
    <w:p w:rsidR="00BB1CE9" w:rsidRPr="003B2DF5" w:rsidRDefault="00BB1CE9" w:rsidP="002A75A0">
      <w:pPr>
        <w:pStyle w:val="Standard"/>
        <w:numPr>
          <w:ilvl w:val="0"/>
          <w:numId w:val="35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+μ</m:t>
        </m:r>
      </m:oMath>
    </w:p>
    <w:p w:rsidR="00BB1CE9" w:rsidRPr="003B2DF5" w:rsidRDefault="00BB1CE9" w:rsidP="002A75A0">
      <w:pPr>
        <w:pStyle w:val="Standard"/>
        <w:numPr>
          <w:ilvl w:val="0"/>
          <w:numId w:val="35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BB1CE9" w:rsidRPr="008C5DA6" w:rsidRDefault="00BB1CE9" w:rsidP="002A75A0">
      <w:pPr>
        <w:pStyle w:val="Standard"/>
        <w:numPr>
          <w:ilvl w:val="0"/>
          <w:numId w:val="35"/>
        </w:numPr>
        <w:tabs>
          <w:tab w:val="left" w:pos="567"/>
        </w:tabs>
        <w:ind w:left="284" w:firstLine="0"/>
        <w:jc w:val="both"/>
        <w:rPr>
          <w:rFonts w:eastAsia="Arial Unicode MS" w:cs="Times New Roman"/>
          <w:kern w:val="0"/>
          <w:highlight w:val="yellow"/>
          <w:bdr w:val="nil"/>
          <w:lang w:eastAsia="en-US" w:bidi="ar-SA"/>
        </w:rPr>
      </w:pPr>
      <m:oMath>
        <m:r>
          <w:rPr>
            <w:rFonts w:ascii="Cambria Math" w:eastAsia="Arial Unicode MS" w:hAnsi="Cambria Math" w:cs="Times New Roman"/>
            <w:kern w:val="0"/>
            <w:highlight w:val="yellow"/>
            <w:bdr w:val="nil"/>
            <w:lang w:eastAsia="en-US" w:bidi="ar-SA"/>
          </w:rPr>
          <m:t>E</m:t>
        </m:r>
        <m:d>
          <m:dPr>
            <m:ctrlPr>
              <w:rPr>
                <w:rFonts w:ascii="Cambria Math" w:eastAsia="Arial Unicode MS" w:hAnsi="Cambria Math" w:cs="Times New Roman"/>
                <w:kern w:val="0"/>
                <w:highlight w:val="yellow"/>
                <w:bdr w:val="nil"/>
                <w:lang w:eastAsia="en-US" w:bidi="ar-SA"/>
              </w:rPr>
            </m:ctrlPr>
          </m:dPr>
          <m:e>
            <m:sSup>
              <m:sSupPr>
                <m:ctrlPr>
                  <w:rPr>
                    <w:rFonts w:ascii="Cambria Math" w:eastAsia="Arial Unicode MS" w:hAnsi="Cambria Math" w:cs="Times New Roman"/>
                    <w:kern w:val="0"/>
                    <w:highlight w:val="yellow"/>
                    <w:bdr w:val="nil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Arial Unicode MS" w:hAnsi="Cambria Math" w:cs="Times New Roman"/>
                    <w:kern w:val="0"/>
                    <w:highlight w:val="yellow"/>
                    <w:bdr w:val="nil"/>
                    <w:lang w:eastAsia="en-US" w:bidi="ar-SA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  <w:kern w:val="0"/>
                    <w:highlight w:val="yellow"/>
                    <w:bdr w:val="nil"/>
                    <w:lang w:eastAsia="en-US" w:bidi="ar-SA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Arial Unicode MS" w:hAnsi="Cambria Math" w:cs="Times New Roman"/>
            <w:kern w:val="0"/>
            <w:highlight w:val="yellow"/>
            <w:bdr w:val="nil"/>
            <w:lang w:eastAsia="en-US" w:bidi="ar-SA"/>
          </w:rPr>
          <m:t>-</m:t>
        </m:r>
        <m:sSup>
          <m:sSupPr>
            <m:ctrlPr>
              <w:rPr>
                <w:rFonts w:ascii="Cambria Math" w:eastAsia="Arial Unicode MS" w:hAnsi="Cambria Math" w:cs="Times New Roman"/>
                <w:kern w:val="0"/>
                <w:highlight w:val="yellow"/>
                <w:bdr w:val="nil"/>
                <w:lang w:eastAsia="en-US" w:bidi="ar-SA"/>
              </w:rPr>
            </m:ctrlPr>
          </m:sSupPr>
          <m:e>
            <m:r>
              <w:rPr>
                <w:rFonts w:ascii="Cambria Math" w:eastAsia="Arial Unicode MS" w:hAnsi="Cambria Math" w:cs="Times New Roman"/>
                <w:kern w:val="0"/>
                <w:highlight w:val="yellow"/>
                <w:bdr w:val="nil"/>
                <w:lang w:eastAsia="en-US" w:bidi="ar-SA"/>
              </w:rPr>
              <m:t>μ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kern w:val="0"/>
                <w:highlight w:val="yellow"/>
                <w:bdr w:val="nil"/>
                <w:lang w:eastAsia="en-US" w:bidi="ar-SA"/>
              </w:rPr>
              <m:t>2</m:t>
            </m:r>
          </m:sup>
        </m:sSup>
      </m:oMath>
    </w:p>
    <w:p w:rsidR="00BB1CE9" w:rsidRPr="003B2DF5" w:rsidRDefault="00BB1CE9" w:rsidP="002A75A0">
      <w:pPr>
        <w:pStyle w:val="Standard"/>
        <w:numPr>
          <w:ilvl w:val="0"/>
          <w:numId w:val="35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E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</m:oMath>
    </w:p>
    <w:p w:rsidR="00BB1CE9" w:rsidRPr="003B2DF5" w:rsidRDefault="00BB1CE9" w:rsidP="008C5DA6">
      <w:pPr>
        <w:tabs>
          <w:tab w:val="left" w:pos="426"/>
          <w:tab w:val="left" w:pos="567"/>
        </w:tabs>
        <w:ind w:left="284" w:hanging="284"/>
        <w:jc w:val="both"/>
        <w:rPr>
          <w:rFonts w:eastAsiaTheme="minorEastAsia"/>
        </w:rPr>
      </w:pPr>
    </w:p>
    <w:p w:rsidR="002A75A0" w:rsidRPr="003B2DF5" w:rsidRDefault="002A75A0" w:rsidP="002A75A0">
      <w:pPr>
        <w:pStyle w:val="western"/>
        <w:numPr>
          <w:ilvl w:val="0"/>
          <w:numId w:val="15"/>
        </w:numPr>
        <w:tabs>
          <w:tab w:val="left" w:pos="426"/>
          <w:tab w:val="left" w:pos="720"/>
          <w:tab w:val="left" w:pos="9570"/>
        </w:tabs>
        <w:spacing w:before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2DF5">
        <w:rPr>
          <w:rFonts w:ascii="Times New Roman" w:hAnsi="Times New Roman" w:cs="Times New Roman"/>
          <w:b w:val="0"/>
          <w:sz w:val="24"/>
          <w:szCs w:val="24"/>
        </w:rPr>
        <w:t>Si consideri una distribuzione uniforme x definita sull’intervallo [a,b] con b=2a. Il suo valore atteso:</w:t>
      </w:r>
    </w:p>
    <w:p w:rsidR="002A75A0" w:rsidRPr="003B2DF5" w:rsidRDefault="002A75A0" w:rsidP="002A75A0">
      <w:pPr>
        <w:tabs>
          <w:tab w:val="left" w:pos="567"/>
        </w:tabs>
        <w:ind w:left="284"/>
      </w:pPr>
      <w:r w:rsidRPr="003B2DF5">
        <w:t>a)</w:t>
      </w:r>
      <w:r>
        <w:tab/>
      </w:r>
      <w:r w:rsidRPr="003B2DF5">
        <w:t>non può essere calcolato con le informazioni date</w:t>
      </w:r>
    </w:p>
    <w:p w:rsidR="002A75A0" w:rsidRPr="003B2DF5" w:rsidRDefault="002A75A0" w:rsidP="002A75A0">
      <w:pPr>
        <w:tabs>
          <w:tab w:val="left" w:pos="567"/>
        </w:tabs>
        <w:ind w:left="284"/>
      </w:pPr>
      <w:r w:rsidRPr="008C5DA6">
        <w:rPr>
          <w:highlight w:val="yellow"/>
        </w:rPr>
        <w:t>b)</w:t>
      </w:r>
      <w:r>
        <w:rPr>
          <w:highlight w:val="yellow"/>
        </w:rPr>
        <w:tab/>
      </w:r>
      <w:r w:rsidRPr="008C5DA6">
        <w:rPr>
          <w:highlight w:val="yellow"/>
        </w:rPr>
        <w:t>è uguale a 3a/2</w:t>
      </w:r>
    </w:p>
    <w:p w:rsidR="002A75A0" w:rsidRPr="003B2DF5" w:rsidRDefault="002A75A0" w:rsidP="002A75A0">
      <w:pPr>
        <w:tabs>
          <w:tab w:val="left" w:pos="567"/>
        </w:tabs>
        <w:ind w:left="284"/>
      </w:pPr>
      <w:r w:rsidRPr="003B2DF5">
        <w:t>c)</w:t>
      </w:r>
      <w:r>
        <w:tab/>
      </w:r>
      <w:r w:rsidRPr="003B2DF5">
        <w:t>è uguale a 2b</w:t>
      </w:r>
    </w:p>
    <w:p w:rsidR="002A75A0" w:rsidRPr="003B2DF5" w:rsidRDefault="002A75A0" w:rsidP="002A75A0">
      <w:pPr>
        <w:tabs>
          <w:tab w:val="left" w:pos="567"/>
        </w:tabs>
        <w:ind w:left="284"/>
      </w:pPr>
      <w:r w:rsidRPr="003B2DF5">
        <w:t>d)</w:t>
      </w:r>
      <w:r>
        <w:tab/>
      </w:r>
      <w:r w:rsidRPr="003B2DF5">
        <w:t>è uguale a b/2</w:t>
      </w:r>
    </w:p>
    <w:p w:rsidR="002A75A0" w:rsidRDefault="002A75A0" w:rsidP="002A75A0">
      <w:pPr>
        <w:tabs>
          <w:tab w:val="left" w:pos="426"/>
          <w:tab w:val="left" w:pos="567"/>
        </w:tabs>
        <w:ind w:left="284" w:hanging="284"/>
        <w:rPr>
          <w:rFonts w:eastAsiaTheme="minorEastAsia"/>
        </w:rPr>
      </w:pPr>
    </w:p>
    <w:p w:rsidR="002A75A0" w:rsidRPr="003B2DF5" w:rsidRDefault="002A75A0" w:rsidP="002A75A0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3B2DF5">
        <w:rPr>
          <w:rFonts w:cs="Times New Roman"/>
        </w:rPr>
        <w:t xml:space="preserve">Sia data una variabile casuale X distribuita normalmente con media </w:t>
      </w:r>
      <m:oMath>
        <m:r>
          <w:rPr>
            <w:rFonts w:ascii="Cambria Math" w:hAnsi="Cambria Math" w:cs="Times New Roman"/>
          </w:rPr>
          <m:t>μ</m:t>
        </m:r>
      </m:oMath>
      <w:r w:rsidRPr="003B2DF5">
        <w:rPr>
          <w:rFonts w:cs="Times New Roman"/>
        </w:rPr>
        <w:t xml:space="preserve"> e varianza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B2DF5">
        <w:rPr>
          <w:rFonts w:cs="Times New Roman"/>
        </w:rPr>
        <w:t xml:space="preserve">. La sua densità di distribuzione è simmetrica rispetto a </w:t>
      </w:r>
      <m:oMath>
        <m:r>
          <w:rPr>
            <w:rFonts w:ascii="Cambria Math" w:hAnsi="Cambria Math" w:cs="Times New Roman"/>
          </w:rPr>
          <m:t>μ</m:t>
        </m:r>
      </m:oMath>
      <w:r w:rsidRPr="003B2DF5">
        <w:rPr>
          <w:rFonts w:cs="Times New Roman"/>
        </w:rPr>
        <w:t xml:space="preserve"> e i punti di flesso della curva hanno per ascissa i valori:</w:t>
      </w:r>
    </w:p>
    <w:p w:rsidR="002A75A0" w:rsidRPr="003B2DF5" w:rsidRDefault="002A75A0" w:rsidP="002A75A0">
      <w:pPr>
        <w:pStyle w:val="Standard"/>
        <w:numPr>
          <w:ilvl w:val="1"/>
          <w:numId w:val="15"/>
        </w:numPr>
        <w:tabs>
          <w:tab w:val="left" w:pos="426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μ-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σ</m:t>
            </m:r>
          </m:num>
          <m:den>
            <m:r>
              <w:rPr>
                <w:rFonts w:ascii="Cambria Math" w:hAnsi="Cambria Math" w:cs="Times New Roman"/>
              </w:rPr>
              <m:t>μ</m:t>
            </m:r>
          </m:den>
        </m:f>
      </m:oMath>
      <w:r w:rsidRPr="003B2DF5">
        <w:rPr>
          <w:rFonts w:cs="Times New Roman"/>
        </w:rPr>
        <w:t xml:space="preserve">  ,  </w:t>
      </w:r>
      <m:oMath>
        <m:r>
          <w:rPr>
            <w:rFonts w:ascii="Cambria Math" w:hAnsi="Cambria Math" w:cs="Times New Roman"/>
          </w:rPr>
          <m:t>μ+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σ</m:t>
            </m:r>
          </m:num>
          <m:den>
            <m:r>
              <w:rPr>
                <w:rFonts w:ascii="Cambria Math" w:hAnsi="Cambria Math" w:cs="Times New Roman"/>
              </w:rPr>
              <m:t>μ</m:t>
            </m:r>
          </m:den>
        </m:f>
      </m:oMath>
    </w:p>
    <w:p w:rsidR="002A75A0" w:rsidRPr="008C5DA6" w:rsidRDefault="002A75A0" w:rsidP="002A75A0">
      <w:pPr>
        <w:pStyle w:val="Standard"/>
        <w:numPr>
          <w:ilvl w:val="1"/>
          <w:numId w:val="15"/>
        </w:numPr>
        <w:tabs>
          <w:tab w:val="left" w:pos="426"/>
        </w:tabs>
        <w:ind w:left="284" w:firstLine="0"/>
        <w:jc w:val="both"/>
        <w:rPr>
          <w:rFonts w:cs="Times New Roman"/>
          <w:highlight w:val="yellow"/>
        </w:rPr>
      </w:pPr>
      <m:oMath>
        <m:r>
          <w:rPr>
            <w:rFonts w:ascii="Cambria Math" w:hAnsi="Cambria Math" w:cs="Times New Roman"/>
            <w:highlight w:val="yellow"/>
          </w:rPr>
          <m:t>μ-σ</m:t>
        </m:r>
      </m:oMath>
      <w:r w:rsidRPr="008C5DA6">
        <w:rPr>
          <w:rFonts w:cs="Times New Roman"/>
          <w:highlight w:val="yellow"/>
        </w:rPr>
        <w:t xml:space="preserve"> ,  </w:t>
      </w:r>
      <m:oMath>
        <m:r>
          <w:rPr>
            <w:rFonts w:ascii="Cambria Math" w:hAnsi="Cambria Math" w:cs="Times New Roman"/>
            <w:highlight w:val="yellow"/>
          </w:rPr>
          <m:t>μ+σ</m:t>
        </m:r>
      </m:oMath>
    </w:p>
    <w:p w:rsidR="002A75A0" w:rsidRPr="003B2DF5" w:rsidRDefault="002A75A0" w:rsidP="002A75A0">
      <w:pPr>
        <w:pStyle w:val="Standard"/>
        <w:numPr>
          <w:ilvl w:val="1"/>
          <w:numId w:val="15"/>
        </w:numPr>
        <w:tabs>
          <w:tab w:val="left" w:pos="426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μ-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3B2DF5">
        <w:rPr>
          <w:rFonts w:cs="Times New Roman"/>
        </w:rPr>
        <w:t xml:space="preserve">, </w:t>
      </w:r>
      <m:oMath>
        <m:r>
          <w:rPr>
            <w:rFonts w:ascii="Cambria Math" w:hAnsi="Cambria Math" w:cs="Times New Roman"/>
          </w:rPr>
          <m:t>μ+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2A75A0" w:rsidRDefault="002A75A0" w:rsidP="002A75A0">
      <w:pPr>
        <w:pStyle w:val="Standard"/>
        <w:numPr>
          <w:ilvl w:val="1"/>
          <w:numId w:val="15"/>
        </w:numPr>
        <w:tabs>
          <w:tab w:val="left" w:pos="426"/>
        </w:tabs>
        <w:ind w:left="284" w:firstLine="0"/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m:t>μ-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μ</m:t>
            </m:r>
          </m:den>
        </m:f>
      </m:oMath>
      <w:r w:rsidRPr="003B2DF5">
        <w:rPr>
          <w:rFonts w:cs="Times New Roman"/>
        </w:rPr>
        <w:t xml:space="preserve">, </w:t>
      </w:r>
      <m:oMath>
        <m:r>
          <w:rPr>
            <w:rFonts w:ascii="Cambria Math" w:hAnsi="Cambria Math" w:cs="Times New Roman"/>
          </w:rPr>
          <m:t>μ+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μ</m:t>
            </m:r>
          </m:den>
        </m:f>
      </m:oMath>
    </w:p>
    <w:p w:rsidR="002A75A0" w:rsidRPr="003B2DF5" w:rsidRDefault="002A75A0" w:rsidP="002A75A0">
      <w:pPr>
        <w:pStyle w:val="Standard"/>
        <w:tabs>
          <w:tab w:val="left" w:pos="426"/>
        </w:tabs>
        <w:ind w:left="284"/>
        <w:jc w:val="both"/>
        <w:rPr>
          <w:rFonts w:cs="Times New Roman"/>
        </w:rPr>
      </w:pPr>
    </w:p>
    <w:p w:rsidR="00BB1CE9" w:rsidRPr="003B2DF5" w:rsidRDefault="00BB1CE9" w:rsidP="002A75A0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3B2DF5">
        <w:rPr>
          <w:rFonts w:cs="Times New Roman"/>
        </w:rPr>
        <w:t>Date due variabili, X e Y, si esegua la regressione lineare di Y su X. Il valore di R</w:t>
      </w:r>
      <w:r w:rsidRPr="003B2DF5">
        <w:rPr>
          <w:rFonts w:cs="Times New Roman"/>
          <w:position w:val="6"/>
        </w:rPr>
        <w:t>2</w:t>
      </w:r>
      <w:r w:rsidRPr="003B2DF5">
        <w:rPr>
          <w:rFonts w:cs="Times New Roman"/>
        </w:rPr>
        <w:t xml:space="preserve"> esprime una misura della bontà della regressione ed è pari a:</w:t>
      </w:r>
    </w:p>
    <w:p w:rsidR="00BB1CE9" w:rsidRPr="008C5DA6" w:rsidRDefault="004361D3" w:rsidP="008C5DA6">
      <w:pPr>
        <w:pStyle w:val="Standard"/>
        <w:numPr>
          <w:ilvl w:val="0"/>
          <w:numId w:val="36"/>
        </w:numPr>
        <w:tabs>
          <w:tab w:val="left" w:pos="567"/>
        </w:tabs>
        <w:spacing w:before="120" w:after="120"/>
        <w:ind w:left="284" w:firstLine="0"/>
        <w:jc w:val="both"/>
        <w:rPr>
          <w:rFonts w:cs="Times New Roman"/>
          <w:highlight w:val="yellow"/>
        </w:rPr>
      </w:pPr>
      <m:oMath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cov(X,Y)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imes New Roman"/>
                    <w:highlight w:val="yellow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highlight w:val="yellow"/>
                  </w:rPr>
                  <m:t>y</m:t>
                </m:r>
              </m:sub>
            </m:sSub>
          </m:den>
        </m:f>
      </m:oMath>
    </w:p>
    <w:p w:rsidR="00BB1CE9" w:rsidRPr="003B2DF5" w:rsidRDefault="004361D3" w:rsidP="002A75A0">
      <w:pPr>
        <w:pStyle w:val="Standard"/>
        <w:numPr>
          <w:ilvl w:val="0"/>
          <w:numId w:val="36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cov(X,Y)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</m:oMath>
    </w:p>
    <w:p w:rsidR="00BB1CE9" w:rsidRPr="003B2DF5" w:rsidRDefault="004361D3" w:rsidP="002A75A0">
      <w:pPr>
        <w:pStyle w:val="Standard"/>
        <w:numPr>
          <w:ilvl w:val="0"/>
          <w:numId w:val="36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cov(X,Y)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</m:oMath>
    </w:p>
    <w:p w:rsidR="00BB1CE9" w:rsidRPr="003B2DF5" w:rsidRDefault="004361D3" w:rsidP="002A75A0">
      <w:pPr>
        <w:pStyle w:val="Standard"/>
        <w:numPr>
          <w:ilvl w:val="0"/>
          <w:numId w:val="36"/>
        </w:numPr>
        <w:tabs>
          <w:tab w:val="left" w:pos="567"/>
        </w:tabs>
        <w:ind w:left="284" w:firstLine="0"/>
        <w:jc w:val="both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cov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X,Y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den>
        </m:f>
      </m:oMath>
    </w:p>
    <w:p w:rsidR="00BB1CE9" w:rsidRPr="003B2DF5" w:rsidRDefault="00BB1CE9" w:rsidP="008C5DA6">
      <w:pPr>
        <w:tabs>
          <w:tab w:val="left" w:pos="426"/>
          <w:tab w:val="left" w:pos="567"/>
        </w:tabs>
        <w:ind w:left="284" w:hanging="284"/>
        <w:rPr>
          <w:rFonts w:eastAsiaTheme="minorEastAsia"/>
        </w:rPr>
      </w:pPr>
    </w:p>
    <w:p w:rsidR="00F6781A" w:rsidRPr="003B2DF5" w:rsidRDefault="00F6781A" w:rsidP="008C5DA6">
      <w:pPr>
        <w:pStyle w:val="Standard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cs="Times New Roman"/>
        </w:rPr>
      </w:pPr>
      <w:r w:rsidRPr="003B2DF5">
        <w:rPr>
          <w:rFonts w:eastAsiaTheme="minorEastAsia" w:cs="Times New Roman"/>
        </w:rPr>
        <w:t xml:space="preserve">Un casello autostradale presenta due sole porte d'uscita, A e B. La quota dei mezzi uscenti da A è 3/4. La probabilità che un mezzo uscente da A sia una moto è 0,2. Analogamente, la probabilità che un mezzo uscente da B sia una moto è pari a 0,1. Qual è la probabilità che dal casello transiti una moto?  </w:t>
      </w:r>
    </w:p>
    <w:p w:rsidR="00F6781A" w:rsidRPr="003B2DF5" w:rsidRDefault="00F6781A" w:rsidP="0011455B">
      <w:pPr>
        <w:pStyle w:val="Paragrafoelenco"/>
        <w:numPr>
          <w:ilvl w:val="0"/>
          <w:numId w:val="31"/>
        </w:numPr>
        <w:tabs>
          <w:tab w:val="left" w:pos="426"/>
          <w:tab w:val="left" w:pos="567"/>
        </w:tabs>
        <w:suppressAutoHyphens w:val="0"/>
        <w:autoSpaceDN/>
        <w:ind w:left="284" w:firstLine="0"/>
        <w:contextualSpacing/>
        <w:textAlignment w:val="auto"/>
        <w:rPr>
          <w:rFonts w:eastAsiaTheme="minorEastAsia" w:cs="Times New Roman"/>
        </w:rPr>
      </w:pPr>
      <w:r w:rsidRPr="003B2DF5">
        <w:rPr>
          <w:rFonts w:eastAsiaTheme="minorEastAsia" w:cs="Times New Roman"/>
        </w:rPr>
        <w:t>0,300</w:t>
      </w:r>
    </w:p>
    <w:p w:rsidR="00F6781A" w:rsidRPr="008C5DA6" w:rsidRDefault="00F6781A" w:rsidP="0011455B">
      <w:pPr>
        <w:pStyle w:val="Paragrafoelenco"/>
        <w:numPr>
          <w:ilvl w:val="0"/>
          <w:numId w:val="31"/>
        </w:numPr>
        <w:tabs>
          <w:tab w:val="left" w:pos="426"/>
          <w:tab w:val="left" w:pos="567"/>
        </w:tabs>
        <w:suppressAutoHyphens w:val="0"/>
        <w:autoSpaceDN/>
        <w:ind w:left="284" w:firstLine="0"/>
        <w:contextualSpacing/>
        <w:textAlignment w:val="auto"/>
        <w:rPr>
          <w:rFonts w:eastAsiaTheme="minorEastAsia" w:cs="Times New Roman"/>
          <w:highlight w:val="yellow"/>
        </w:rPr>
      </w:pPr>
      <w:r w:rsidRPr="008C5DA6">
        <w:rPr>
          <w:rFonts w:eastAsiaTheme="minorEastAsia" w:cs="Times New Roman"/>
          <w:highlight w:val="yellow"/>
        </w:rPr>
        <w:t xml:space="preserve">0,175  </w:t>
      </w:r>
    </w:p>
    <w:p w:rsidR="00F6781A" w:rsidRPr="003B2DF5" w:rsidRDefault="00F6781A" w:rsidP="0011455B">
      <w:pPr>
        <w:pStyle w:val="Paragrafoelenco"/>
        <w:numPr>
          <w:ilvl w:val="0"/>
          <w:numId w:val="31"/>
        </w:numPr>
        <w:tabs>
          <w:tab w:val="left" w:pos="426"/>
          <w:tab w:val="left" w:pos="567"/>
        </w:tabs>
        <w:suppressAutoHyphens w:val="0"/>
        <w:autoSpaceDN/>
        <w:ind w:left="284" w:firstLine="0"/>
        <w:contextualSpacing/>
        <w:textAlignment w:val="auto"/>
        <w:rPr>
          <w:rFonts w:eastAsiaTheme="minorEastAsia" w:cs="Times New Roman"/>
        </w:rPr>
      </w:pPr>
      <w:r w:rsidRPr="003B2DF5">
        <w:rPr>
          <w:rFonts w:eastAsiaTheme="minorEastAsia" w:cs="Times New Roman"/>
        </w:rPr>
        <w:t>0,195</w:t>
      </w:r>
    </w:p>
    <w:p w:rsidR="00F6781A" w:rsidRPr="003B2DF5" w:rsidRDefault="00F6781A" w:rsidP="0011455B">
      <w:pPr>
        <w:pStyle w:val="Paragrafoelenco"/>
        <w:numPr>
          <w:ilvl w:val="0"/>
          <w:numId w:val="31"/>
        </w:numPr>
        <w:tabs>
          <w:tab w:val="left" w:pos="426"/>
          <w:tab w:val="left" w:pos="567"/>
        </w:tabs>
        <w:suppressAutoHyphens w:val="0"/>
        <w:autoSpaceDN/>
        <w:ind w:left="284" w:firstLine="0"/>
        <w:contextualSpacing/>
        <w:textAlignment w:val="auto"/>
        <w:rPr>
          <w:rFonts w:eastAsiaTheme="minorEastAsia" w:cs="Times New Roman"/>
        </w:rPr>
      </w:pPr>
      <w:r w:rsidRPr="003B2DF5">
        <w:rPr>
          <w:rFonts w:eastAsiaTheme="minorEastAsia" w:cs="Times New Roman"/>
        </w:rPr>
        <w:t>0,150</w:t>
      </w:r>
    </w:p>
    <w:p w:rsidR="00F6781A" w:rsidRPr="003B2DF5" w:rsidRDefault="00F6781A" w:rsidP="008C5DA6">
      <w:pPr>
        <w:tabs>
          <w:tab w:val="left" w:pos="426"/>
          <w:tab w:val="left" w:pos="567"/>
        </w:tabs>
        <w:ind w:left="284" w:hanging="284"/>
        <w:rPr>
          <w:rFonts w:eastAsiaTheme="minorEastAsia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Il return on sales (ROS) è dato dal rapporto tra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reddito operativo e valore della produzione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margine operativo lordo e ricavi di vendita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ricavi di vendita e patrimonio netto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>reddito operativo e ricavi di vendita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Le plusvalenze iscritte a conto economico indicano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 xml:space="preserve">le entrate di cassa derivanti dalla cessione di immobilizzazioni 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il minor valore di cessione delle immobilizzazioni rispetto al loro valore contabile netto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  <w:highlight w:val="yellow"/>
        </w:rPr>
        <w:t>il maggior valore di cessione delle immobilizzazioni rispetto al loro valore contabile netto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 xml:space="preserve">i ricavi derivanti dalla cessione di immobilizzazioni 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Si considerino i seguenti dati, riferiti a un’azienda monoprodotto: prezzo unitario di vendita 10; costi variabili unitari 8; costi fissi 1.000. Quante unità del prodotto è necessario realizzare e vendere per ottenere il pareggio tra costi totali e ricavi?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>500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1.000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2.000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125</w:t>
      </w:r>
    </w:p>
    <w:p w:rsidR="00DB6EB3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Il margine operativo lordo è dato dalla differenza tra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ricavi e costo del venduto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 xml:space="preserve">ricavi e tutte le voci del costo del venduto tranne gli ammortamenti 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ricavi e oneri finanziari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reddito operativo e proventi e oneri accessori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Nella matrice Boston Consulting Group a quale posizione strategica corrisponde il quadrante dei cash cow?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Alta quota di mercato relativa e alto tasso di crescita di mercato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Bassa quota di mercato relativa e alto tasso di crescita di mercato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>Alta quota di mercato relativa e basso tasso di crescita di mercato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Bassa quota di mercato relativa e basso tasso di crescita di mercato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Che cosa contraddistingue una strategia di differenziazione?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 xml:space="preserve">L’attenzione verso l’abbassamento dei costi 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L’investimento in attività di comunicazione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L’aumento dell’efficienza aziendale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>Una strategia di prezzo orientata al premium price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Un’impresa che produce panettoni inizia ad offrire ai consumatori anche merendine. Che strategia sta adottando?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  <w:highlight w:val="yellow"/>
        </w:rPr>
        <w:t>Una strategia di diversificazione correlata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Una strategia di internazionalizzazione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Una strategia di diversificazione non correlata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Una strategia di differenziazione</w:t>
      </w:r>
    </w:p>
    <w:p w:rsidR="00DB6EB3" w:rsidRPr="00B53365" w:rsidRDefault="00DB6EB3" w:rsidP="008C5DA6">
      <w:pPr>
        <w:pStyle w:val="Paragrafoelenco"/>
        <w:tabs>
          <w:tab w:val="left" w:pos="426"/>
        </w:tabs>
        <w:ind w:left="284" w:hanging="284"/>
        <w:rPr>
          <w:rFonts w:cs="Times New Roman"/>
        </w:rPr>
      </w:pPr>
    </w:p>
    <w:p w:rsidR="00DB6EB3" w:rsidRPr="00B53365" w:rsidRDefault="00DB6EB3" w:rsidP="008C5DA6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autoSpaceDN/>
        <w:spacing w:after="200"/>
        <w:ind w:left="284" w:hanging="284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Nella catena del valore di Porter le attività primarie comprendono: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Lo sviluppo della tecnologia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  <w:highlight w:val="yellow"/>
        </w:rPr>
      </w:pPr>
      <w:r w:rsidRPr="00B53365">
        <w:rPr>
          <w:rFonts w:cs="Times New Roman"/>
          <w:highlight w:val="yellow"/>
        </w:rPr>
        <w:t>Il marketing e le vendite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La gestione delle risorse umane</w:t>
      </w:r>
    </w:p>
    <w:p w:rsidR="00DB6EB3" w:rsidRPr="00B53365" w:rsidRDefault="00DB6EB3" w:rsidP="0011455B">
      <w:pPr>
        <w:pStyle w:val="Paragrafoelenco"/>
        <w:numPr>
          <w:ilvl w:val="1"/>
          <w:numId w:val="15"/>
        </w:numPr>
        <w:tabs>
          <w:tab w:val="left" w:pos="567"/>
        </w:tabs>
        <w:suppressAutoHyphens w:val="0"/>
        <w:autoSpaceDN/>
        <w:spacing w:after="200"/>
        <w:ind w:left="284" w:firstLine="0"/>
        <w:contextualSpacing/>
        <w:textAlignment w:val="auto"/>
        <w:rPr>
          <w:rFonts w:cs="Times New Roman"/>
        </w:rPr>
      </w:pPr>
      <w:r w:rsidRPr="00B53365">
        <w:rPr>
          <w:rFonts w:cs="Times New Roman"/>
        </w:rPr>
        <w:t>La ricerca e sviluppo</w:t>
      </w:r>
    </w:p>
    <w:p w:rsidR="00DB6EB3" w:rsidRPr="00B53365" w:rsidRDefault="00DB6EB3" w:rsidP="008C5DA6">
      <w:pPr>
        <w:tabs>
          <w:tab w:val="left" w:pos="426"/>
          <w:tab w:val="left" w:pos="567"/>
        </w:tabs>
        <w:suppressAutoHyphens w:val="0"/>
        <w:autoSpaceDN/>
        <w:ind w:left="284" w:hanging="284"/>
        <w:contextualSpacing/>
        <w:textAlignment w:val="auto"/>
        <w:rPr>
          <w:rFonts w:eastAsiaTheme="minorEastAsia" w:cs="Times New Roman"/>
        </w:rPr>
      </w:pPr>
    </w:p>
    <w:sectPr w:rsidR="00DB6EB3" w:rsidRPr="00B53365" w:rsidSect="001A1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1F"/>
    <w:multiLevelType w:val="hybridMultilevel"/>
    <w:tmpl w:val="9B9A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2CA"/>
    <w:multiLevelType w:val="hybridMultilevel"/>
    <w:tmpl w:val="FC6093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4AF5"/>
    <w:multiLevelType w:val="hybridMultilevel"/>
    <w:tmpl w:val="CA103B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EAF"/>
    <w:multiLevelType w:val="hybridMultilevel"/>
    <w:tmpl w:val="99A2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D4C9E"/>
    <w:multiLevelType w:val="hybridMultilevel"/>
    <w:tmpl w:val="F78C5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40FD"/>
    <w:multiLevelType w:val="hybridMultilevel"/>
    <w:tmpl w:val="CEF2B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DBD"/>
    <w:multiLevelType w:val="hybridMultilevel"/>
    <w:tmpl w:val="F30CA44A"/>
    <w:lvl w:ilvl="0" w:tplc="F6C80B9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33CAA74">
      <w:start w:val="1"/>
      <w:numFmt w:val="lowerLetter"/>
      <w:lvlText w:val="%2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8F1005E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2332B67"/>
    <w:multiLevelType w:val="hybridMultilevel"/>
    <w:tmpl w:val="8B2A73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F3E"/>
    <w:multiLevelType w:val="hybridMultilevel"/>
    <w:tmpl w:val="8C424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3F472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E3D"/>
    <w:multiLevelType w:val="hybridMultilevel"/>
    <w:tmpl w:val="333CF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669AE"/>
    <w:multiLevelType w:val="hybridMultilevel"/>
    <w:tmpl w:val="1BBE90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01DE4"/>
    <w:multiLevelType w:val="hybridMultilevel"/>
    <w:tmpl w:val="B442C0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3F472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07FF4"/>
    <w:multiLevelType w:val="hybridMultilevel"/>
    <w:tmpl w:val="5658E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0FBE"/>
    <w:multiLevelType w:val="hybridMultilevel"/>
    <w:tmpl w:val="61A42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C3EDB"/>
    <w:multiLevelType w:val="hybridMultilevel"/>
    <w:tmpl w:val="11C8698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40DCF"/>
    <w:multiLevelType w:val="hybridMultilevel"/>
    <w:tmpl w:val="C27231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4B3"/>
    <w:multiLevelType w:val="hybridMultilevel"/>
    <w:tmpl w:val="03E00542"/>
    <w:lvl w:ilvl="0" w:tplc="18C4600C">
      <w:start w:val="1"/>
      <w:numFmt w:val="lowerLetter"/>
      <w:lvlText w:val="%1)"/>
      <w:lvlJc w:val="left"/>
      <w:pPr>
        <w:ind w:left="904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46DF2A1A"/>
    <w:multiLevelType w:val="hybridMultilevel"/>
    <w:tmpl w:val="C8342A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46CE1"/>
    <w:multiLevelType w:val="hybridMultilevel"/>
    <w:tmpl w:val="730C0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92F17"/>
    <w:multiLevelType w:val="hybridMultilevel"/>
    <w:tmpl w:val="7892D9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23628"/>
    <w:multiLevelType w:val="hybridMultilevel"/>
    <w:tmpl w:val="CCEC1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3299"/>
    <w:multiLevelType w:val="multilevel"/>
    <w:tmpl w:val="CCE616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5420E86"/>
    <w:multiLevelType w:val="hybridMultilevel"/>
    <w:tmpl w:val="4F9A4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31D26"/>
    <w:multiLevelType w:val="hybridMultilevel"/>
    <w:tmpl w:val="D63402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D1AED"/>
    <w:multiLevelType w:val="hybridMultilevel"/>
    <w:tmpl w:val="7AEAC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A43D1"/>
    <w:multiLevelType w:val="hybridMultilevel"/>
    <w:tmpl w:val="EA823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A34FA"/>
    <w:multiLevelType w:val="hybridMultilevel"/>
    <w:tmpl w:val="5124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A37FD"/>
    <w:multiLevelType w:val="hybridMultilevel"/>
    <w:tmpl w:val="40A44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82E2F"/>
    <w:multiLevelType w:val="hybridMultilevel"/>
    <w:tmpl w:val="D6EEF6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FF75A1"/>
    <w:multiLevelType w:val="hybridMultilevel"/>
    <w:tmpl w:val="FE64C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206A"/>
    <w:multiLevelType w:val="hybridMultilevel"/>
    <w:tmpl w:val="66B8F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73389"/>
    <w:multiLevelType w:val="hybridMultilevel"/>
    <w:tmpl w:val="B4361C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A5383"/>
    <w:multiLevelType w:val="multilevel"/>
    <w:tmpl w:val="3410D7B2"/>
    <w:styleLink w:val="WWNum1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69D25BD"/>
    <w:multiLevelType w:val="hybridMultilevel"/>
    <w:tmpl w:val="F6688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046F7"/>
    <w:multiLevelType w:val="hybridMultilevel"/>
    <w:tmpl w:val="9B9A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71D13"/>
    <w:multiLevelType w:val="hybridMultilevel"/>
    <w:tmpl w:val="3D9E3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6"/>
  </w:num>
  <w:num w:numId="4">
    <w:abstractNumId w:val="4"/>
  </w:num>
  <w:num w:numId="5">
    <w:abstractNumId w:val="29"/>
  </w:num>
  <w:num w:numId="6">
    <w:abstractNumId w:val="17"/>
  </w:num>
  <w:num w:numId="7">
    <w:abstractNumId w:val="33"/>
  </w:num>
  <w:num w:numId="8">
    <w:abstractNumId w:val="20"/>
  </w:num>
  <w:num w:numId="9">
    <w:abstractNumId w:val="30"/>
  </w:num>
  <w:num w:numId="10">
    <w:abstractNumId w:val="28"/>
  </w:num>
  <w:num w:numId="11">
    <w:abstractNumId w:val="3"/>
  </w:num>
  <w:num w:numId="12">
    <w:abstractNumId w:val="26"/>
  </w:num>
  <w:num w:numId="13">
    <w:abstractNumId w:val="34"/>
  </w:num>
  <w:num w:numId="14">
    <w:abstractNumId w:val="0"/>
  </w:num>
  <w:num w:numId="15">
    <w:abstractNumId w:val="22"/>
  </w:num>
  <w:num w:numId="16">
    <w:abstractNumId w:val="19"/>
  </w:num>
  <w:num w:numId="17">
    <w:abstractNumId w:val="31"/>
  </w:num>
  <w:num w:numId="18">
    <w:abstractNumId w:val="18"/>
  </w:num>
  <w:num w:numId="19">
    <w:abstractNumId w:val="14"/>
  </w:num>
  <w:num w:numId="20">
    <w:abstractNumId w:val="9"/>
  </w:num>
  <w:num w:numId="21">
    <w:abstractNumId w:val="2"/>
  </w:num>
  <w:num w:numId="22">
    <w:abstractNumId w:val="27"/>
  </w:num>
  <w:num w:numId="23">
    <w:abstractNumId w:val="1"/>
  </w:num>
  <w:num w:numId="24">
    <w:abstractNumId w:val="23"/>
  </w:num>
  <w:num w:numId="25">
    <w:abstractNumId w:val="10"/>
  </w:num>
  <w:num w:numId="26">
    <w:abstractNumId w:val="7"/>
  </w:num>
  <w:num w:numId="27">
    <w:abstractNumId w:val="15"/>
  </w:num>
  <w:num w:numId="28">
    <w:abstractNumId w:val="25"/>
  </w:num>
  <w:num w:numId="29">
    <w:abstractNumId w:val="35"/>
  </w:num>
  <w:num w:numId="30">
    <w:abstractNumId w:val="13"/>
  </w:num>
  <w:num w:numId="31">
    <w:abstractNumId w:val="5"/>
  </w:num>
  <w:num w:numId="32">
    <w:abstractNumId w:val="24"/>
  </w:num>
  <w:num w:numId="33">
    <w:abstractNumId w:val="8"/>
  </w:num>
  <w:num w:numId="34">
    <w:abstractNumId w:val="11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283"/>
  <w:characterSpacingControl w:val="doNotCompress"/>
  <w:compat/>
  <w:rsids>
    <w:rsidRoot w:val="00DB6EB3"/>
    <w:rsid w:val="000037F8"/>
    <w:rsid w:val="00003BB2"/>
    <w:rsid w:val="000041E8"/>
    <w:rsid w:val="0000465A"/>
    <w:rsid w:val="00004703"/>
    <w:rsid w:val="000054D7"/>
    <w:rsid w:val="00005533"/>
    <w:rsid w:val="0000603A"/>
    <w:rsid w:val="00006DA8"/>
    <w:rsid w:val="000076FC"/>
    <w:rsid w:val="00011D32"/>
    <w:rsid w:val="0001202B"/>
    <w:rsid w:val="00014293"/>
    <w:rsid w:val="00017006"/>
    <w:rsid w:val="00020B49"/>
    <w:rsid w:val="000218E6"/>
    <w:rsid w:val="0002483D"/>
    <w:rsid w:val="00024ECD"/>
    <w:rsid w:val="000305B7"/>
    <w:rsid w:val="00030D89"/>
    <w:rsid w:val="00032586"/>
    <w:rsid w:val="00032B80"/>
    <w:rsid w:val="0003565C"/>
    <w:rsid w:val="00036470"/>
    <w:rsid w:val="00037909"/>
    <w:rsid w:val="00041372"/>
    <w:rsid w:val="000421F0"/>
    <w:rsid w:val="000426EC"/>
    <w:rsid w:val="00042D2F"/>
    <w:rsid w:val="00043729"/>
    <w:rsid w:val="00045294"/>
    <w:rsid w:val="0005022B"/>
    <w:rsid w:val="000503E1"/>
    <w:rsid w:val="000504BE"/>
    <w:rsid w:val="00052451"/>
    <w:rsid w:val="00053374"/>
    <w:rsid w:val="00054E15"/>
    <w:rsid w:val="0005507F"/>
    <w:rsid w:val="00055359"/>
    <w:rsid w:val="00060A9D"/>
    <w:rsid w:val="00063867"/>
    <w:rsid w:val="00065472"/>
    <w:rsid w:val="00066C5A"/>
    <w:rsid w:val="000671AC"/>
    <w:rsid w:val="000674EB"/>
    <w:rsid w:val="00067739"/>
    <w:rsid w:val="000720C1"/>
    <w:rsid w:val="0007334A"/>
    <w:rsid w:val="00073FB7"/>
    <w:rsid w:val="00075B6B"/>
    <w:rsid w:val="00075CCE"/>
    <w:rsid w:val="0007788F"/>
    <w:rsid w:val="000806A6"/>
    <w:rsid w:val="00081615"/>
    <w:rsid w:val="00081E17"/>
    <w:rsid w:val="00083EF1"/>
    <w:rsid w:val="00084460"/>
    <w:rsid w:val="000851B1"/>
    <w:rsid w:val="00085DA9"/>
    <w:rsid w:val="00086376"/>
    <w:rsid w:val="000874AC"/>
    <w:rsid w:val="00090452"/>
    <w:rsid w:val="00091332"/>
    <w:rsid w:val="00092544"/>
    <w:rsid w:val="000926EF"/>
    <w:rsid w:val="00092E23"/>
    <w:rsid w:val="00093353"/>
    <w:rsid w:val="00093B2D"/>
    <w:rsid w:val="00093E5F"/>
    <w:rsid w:val="00093EB1"/>
    <w:rsid w:val="00094658"/>
    <w:rsid w:val="0009576B"/>
    <w:rsid w:val="000A3899"/>
    <w:rsid w:val="000A3ED7"/>
    <w:rsid w:val="000A445E"/>
    <w:rsid w:val="000A5334"/>
    <w:rsid w:val="000A5566"/>
    <w:rsid w:val="000A55F4"/>
    <w:rsid w:val="000A57FF"/>
    <w:rsid w:val="000A5DF0"/>
    <w:rsid w:val="000A68D5"/>
    <w:rsid w:val="000A6CBD"/>
    <w:rsid w:val="000A7A1D"/>
    <w:rsid w:val="000B0849"/>
    <w:rsid w:val="000B259A"/>
    <w:rsid w:val="000B2DBE"/>
    <w:rsid w:val="000B39F3"/>
    <w:rsid w:val="000B5DAB"/>
    <w:rsid w:val="000C129D"/>
    <w:rsid w:val="000C1705"/>
    <w:rsid w:val="000C7442"/>
    <w:rsid w:val="000C7BB8"/>
    <w:rsid w:val="000D32B3"/>
    <w:rsid w:val="000D3485"/>
    <w:rsid w:val="000D34A3"/>
    <w:rsid w:val="000D4060"/>
    <w:rsid w:val="000D5944"/>
    <w:rsid w:val="000D60EF"/>
    <w:rsid w:val="000D7FDB"/>
    <w:rsid w:val="000E06B0"/>
    <w:rsid w:val="000E274A"/>
    <w:rsid w:val="000E310B"/>
    <w:rsid w:val="000E47C7"/>
    <w:rsid w:val="000E529A"/>
    <w:rsid w:val="000E70ED"/>
    <w:rsid w:val="000E7AA6"/>
    <w:rsid w:val="000F1787"/>
    <w:rsid w:val="000F1D47"/>
    <w:rsid w:val="000F28DB"/>
    <w:rsid w:val="000F3447"/>
    <w:rsid w:val="000F50BA"/>
    <w:rsid w:val="000F5DCC"/>
    <w:rsid w:val="00102449"/>
    <w:rsid w:val="0010287E"/>
    <w:rsid w:val="00103440"/>
    <w:rsid w:val="001034A9"/>
    <w:rsid w:val="00103695"/>
    <w:rsid w:val="00106FBE"/>
    <w:rsid w:val="0010739F"/>
    <w:rsid w:val="00110EC7"/>
    <w:rsid w:val="001114A5"/>
    <w:rsid w:val="00111865"/>
    <w:rsid w:val="0011454D"/>
    <w:rsid w:val="0011455B"/>
    <w:rsid w:val="001164DF"/>
    <w:rsid w:val="00116B3A"/>
    <w:rsid w:val="00116E2E"/>
    <w:rsid w:val="00116F4F"/>
    <w:rsid w:val="00116F56"/>
    <w:rsid w:val="001174A5"/>
    <w:rsid w:val="00117F1C"/>
    <w:rsid w:val="001216DA"/>
    <w:rsid w:val="00121B23"/>
    <w:rsid w:val="00122179"/>
    <w:rsid w:val="00122CC3"/>
    <w:rsid w:val="0012346F"/>
    <w:rsid w:val="00123BC2"/>
    <w:rsid w:val="001256F2"/>
    <w:rsid w:val="00126835"/>
    <w:rsid w:val="00126D40"/>
    <w:rsid w:val="0012742D"/>
    <w:rsid w:val="0013199A"/>
    <w:rsid w:val="00132E00"/>
    <w:rsid w:val="0013334A"/>
    <w:rsid w:val="00134197"/>
    <w:rsid w:val="001347D3"/>
    <w:rsid w:val="00136131"/>
    <w:rsid w:val="00136A58"/>
    <w:rsid w:val="00140BD8"/>
    <w:rsid w:val="00142374"/>
    <w:rsid w:val="00142F14"/>
    <w:rsid w:val="00145941"/>
    <w:rsid w:val="0014604D"/>
    <w:rsid w:val="00151D55"/>
    <w:rsid w:val="001536CB"/>
    <w:rsid w:val="001544DF"/>
    <w:rsid w:val="00154641"/>
    <w:rsid w:val="0015571E"/>
    <w:rsid w:val="001562EB"/>
    <w:rsid w:val="00156C8A"/>
    <w:rsid w:val="00160832"/>
    <w:rsid w:val="0016190F"/>
    <w:rsid w:val="001624B2"/>
    <w:rsid w:val="00162BE2"/>
    <w:rsid w:val="00162C83"/>
    <w:rsid w:val="001640ED"/>
    <w:rsid w:val="00165D67"/>
    <w:rsid w:val="00166FB0"/>
    <w:rsid w:val="00167429"/>
    <w:rsid w:val="00170A51"/>
    <w:rsid w:val="00173435"/>
    <w:rsid w:val="00176DD3"/>
    <w:rsid w:val="00177FC3"/>
    <w:rsid w:val="00180A10"/>
    <w:rsid w:val="001810ED"/>
    <w:rsid w:val="00182841"/>
    <w:rsid w:val="00185594"/>
    <w:rsid w:val="00192147"/>
    <w:rsid w:val="001936A0"/>
    <w:rsid w:val="0019410B"/>
    <w:rsid w:val="00195331"/>
    <w:rsid w:val="001964A4"/>
    <w:rsid w:val="00197BC8"/>
    <w:rsid w:val="001A1136"/>
    <w:rsid w:val="001A1ABC"/>
    <w:rsid w:val="001A2B4D"/>
    <w:rsid w:val="001A31BE"/>
    <w:rsid w:val="001A40BC"/>
    <w:rsid w:val="001A5045"/>
    <w:rsid w:val="001A625D"/>
    <w:rsid w:val="001A74C6"/>
    <w:rsid w:val="001B0505"/>
    <w:rsid w:val="001B08A4"/>
    <w:rsid w:val="001B0ED8"/>
    <w:rsid w:val="001B1DD0"/>
    <w:rsid w:val="001B29AD"/>
    <w:rsid w:val="001B32F7"/>
    <w:rsid w:val="001B3590"/>
    <w:rsid w:val="001B5C43"/>
    <w:rsid w:val="001B67A5"/>
    <w:rsid w:val="001B6A2C"/>
    <w:rsid w:val="001B6FD3"/>
    <w:rsid w:val="001B7CC8"/>
    <w:rsid w:val="001C157B"/>
    <w:rsid w:val="001C177A"/>
    <w:rsid w:val="001C2878"/>
    <w:rsid w:val="001C3F14"/>
    <w:rsid w:val="001C51A5"/>
    <w:rsid w:val="001C5F15"/>
    <w:rsid w:val="001C740F"/>
    <w:rsid w:val="001D0155"/>
    <w:rsid w:val="001D0461"/>
    <w:rsid w:val="001D04BF"/>
    <w:rsid w:val="001D082D"/>
    <w:rsid w:val="001D0E84"/>
    <w:rsid w:val="001D1F4F"/>
    <w:rsid w:val="001D2574"/>
    <w:rsid w:val="001D2598"/>
    <w:rsid w:val="001D46D9"/>
    <w:rsid w:val="001E0094"/>
    <w:rsid w:val="001E2807"/>
    <w:rsid w:val="001E2A76"/>
    <w:rsid w:val="001E3E6B"/>
    <w:rsid w:val="001E5445"/>
    <w:rsid w:val="001E761A"/>
    <w:rsid w:val="001E7679"/>
    <w:rsid w:val="001F105B"/>
    <w:rsid w:val="001F11C5"/>
    <w:rsid w:val="001F1A94"/>
    <w:rsid w:val="001F1E2C"/>
    <w:rsid w:val="001F25B4"/>
    <w:rsid w:val="001F30F1"/>
    <w:rsid w:val="001F3C2D"/>
    <w:rsid w:val="001F4B7D"/>
    <w:rsid w:val="001F5B62"/>
    <w:rsid w:val="001F5FE8"/>
    <w:rsid w:val="00203B56"/>
    <w:rsid w:val="00204A84"/>
    <w:rsid w:val="00204CFA"/>
    <w:rsid w:val="002054CB"/>
    <w:rsid w:val="0020573F"/>
    <w:rsid w:val="00206E5F"/>
    <w:rsid w:val="0020716C"/>
    <w:rsid w:val="0021295F"/>
    <w:rsid w:val="00212A80"/>
    <w:rsid w:val="002130F7"/>
    <w:rsid w:val="002143A7"/>
    <w:rsid w:val="0022393A"/>
    <w:rsid w:val="00224A2B"/>
    <w:rsid w:val="00224BFF"/>
    <w:rsid w:val="0022532D"/>
    <w:rsid w:val="002254FA"/>
    <w:rsid w:val="0022572A"/>
    <w:rsid w:val="00227F3C"/>
    <w:rsid w:val="00230919"/>
    <w:rsid w:val="00231FDE"/>
    <w:rsid w:val="002321B2"/>
    <w:rsid w:val="00232A39"/>
    <w:rsid w:val="00237045"/>
    <w:rsid w:val="00237CF6"/>
    <w:rsid w:val="00241EE0"/>
    <w:rsid w:val="00242D80"/>
    <w:rsid w:val="00243902"/>
    <w:rsid w:val="002474B9"/>
    <w:rsid w:val="0025405A"/>
    <w:rsid w:val="00257E04"/>
    <w:rsid w:val="00260FF0"/>
    <w:rsid w:val="00261193"/>
    <w:rsid w:val="00261B76"/>
    <w:rsid w:val="00261FAF"/>
    <w:rsid w:val="00262522"/>
    <w:rsid w:val="00262863"/>
    <w:rsid w:val="002641D4"/>
    <w:rsid w:val="002648DA"/>
    <w:rsid w:val="00264978"/>
    <w:rsid w:val="00270131"/>
    <w:rsid w:val="00270BD6"/>
    <w:rsid w:val="00270E25"/>
    <w:rsid w:val="002714FA"/>
    <w:rsid w:val="002726CB"/>
    <w:rsid w:val="00272E2C"/>
    <w:rsid w:val="00274B56"/>
    <w:rsid w:val="0027569F"/>
    <w:rsid w:val="00275C7D"/>
    <w:rsid w:val="00275D73"/>
    <w:rsid w:val="00276530"/>
    <w:rsid w:val="00280333"/>
    <w:rsid w:val="00280412"/>
    <w:rsid w:val="00282004"/>
    <w:rsid w:val="0028631B"/>
    <w:rsid w:val="00286A65"/>
    <w:rsid w:val="002875D9"/>
    <w:rsid w:val="00287632"/>
    <w:rsid w:val="00290751"/>
    <w:rsid w:val="00293916"/>
    <w:rsid w:val="00294192"/>
    <w:rsid w:val="00294F8E"/>
    <w:rsid w:val="00294FF7"/>
    <w:rsid w:val="002953DF"/>
    <w:rsid w:val="00296688"/>
    <w:rsid w:val="00296A3A"/>
    <w:rsid w:val="002A00D9"/>
    <w:rsid w:val="002A14DC"/>
    <w:rsid w:val="002A23C9"/>
    <w:rsid w:val="002A2743"/>
    <w:rsid w:val="002A2A3B"/>
    <w:rsid w:val="002A2F72"/>
    <w:rsid w:val="002A3CC4"/>
    <w:rsid w:val="002A4BD0"/>
    <w:rsid w:val="002A59E3"/>
    <w:rsid w:val="002A5A3F"/>
    <w:rsid w:val="002A6B07"/>
    <w:rsid w:val="002A6B4E"/>
    <w:rsid w:val="002A748E"/>
    <w:rsid w:val="002A75A0"/>
    <w:rsid w:val="002A7715"/>
    <w:rsid w:val="002B1D21"/>
    <w:rsid w:val="002B1DD5"/>
    <w:rsid w:val="002B25F6"/>
    <w:rsid w:val="002B2625"/>
    <w:rsid w:val="002B3021"/>
    <w:rsid w:val="002B3055"/>
    <w:rsid w:val="002B3213"/>
    <w:rsid w:val="002B61A4"/>
    <w:rsid w:val="002B65D3"/>
    <w:rsid w:val="002B74C9"/>
    <w:rsid w:val="002B7BF5"/>
    <w:rsid w:val="002C24F4"/>
    <w:rsid w:val="002C6026"/>
    <w:rsid w:val="002C7059"/>
    <w:rsid w:val="002D1F66"/>
    <w:rsid w:val="002D2687"/>
    <w:rsid w:val="002D2DB1"/>
    <w:rsid w:val="002D2FF5"/>
    <w:rsid w:val="002D3977"/>
    <w:rsid w:val="002D41AD"/>
    <w:rsid w:val="002D4723"/>
    <w:rsid w:val="002D5D0C"/>
    <w:rsid w:val="002D6FE8"/>
    <w:rsid w:val="002E1A11"/>
    <w:rsid w:val="002E3167"/>
    <w:rsid w:val="002E3F7E"/>
    <w:rsid w:val="002E43AC"/>
    <w:rsid w:val="002E5BEE"/>
    <w:rsid w:val="002E5C11"/>
    <w:rsid w:val="002F16BD"/>
    <w:rsid w:val="002F250F"/>
    <w:rsid w:val="002F2857"/>
    <w:rsid w:val="002F31CE"/>
    <w:rsid w:val="002F3368"/>
    <w:rsid w:val="002F4F37"/>
    <w:rsid w:val="002F53C1"/>
    <w:rsid w:val="002F580D"/>
    <w:rsid w:val="002F6B99"/>
    <w:rsid w:val="002F7E92"/>
    <w:rsid w:val="00300464"/>
    <w:rsid w:val="00301B0F"/>
    <w:rsid w:val="00301EE2"/>
    <w:rsid w:val="00301FF0"/>
    <w:rsid w:val="003029F0"/>
    <w:rsid w:val="003033EA"/>
    <w:rsid w:val="00304096"/>
    <w:rsid w:val="00304444"/>
    <w:rsid w:val="00304BDE"/>
    <w:rsid w:val="00306309"/>
    <w:rsid w:val="00310BFC"/>
    <w:rsid w:val="003114BA"/>
    <w:rsid w:val="00311562"/>
    <w:rsid w:val="00311C27"/>
    <w:rsid w:val="00311F9A"/>
    <w:rsid w:val="003138C0"/>
    <w:rsid w:val="00314055"/>
    <w:rsid w:val="00314AF0"/>
    <w:rsid w:val="00314B6C"/>
    <w:rsid w:val="0031763D"/>
    <w:rsid w:val="003213FC"/>
    <w:rsid w:val="003215C8"/>
    <w:rsid w:val="003217C0"/>
    <w:rsid w:val="0032244F"/>
    <w:rsid w:val="003240A1"/>
    <w:rsid w:val="003242E9"/>
    <w:rsid w:val="003257CE"/>
    <w:rsid w:val="00325B24"/>
    <w:rsid w:val="00325D5F"/>
    <w:rsid w:val="00326228"/>
    <w:rsid w:val="00326EE2"/>
    <w:rsid w:val="003271E4"/>
    <w:rsid w:val="00330173"/>
    <w:rsid w:val="003309DF"/>
    <w:rsid w:val="00331141"/>
    <w:rsid w:val="00332836"/>
    <w:rsid w:val="00332EAD"/>
    <w:rsid w:val="003331E6"/>
    <w:rsid w:val="00333AE2"/>
    <w:rsid w:val="003355E8"/>
    <w:rsid w:val="00340267"/>
    <w:rsid w:val="00340A6B"/>
    <w:rsid w:val="00341485"/>
    <w:rsid w:val="0034257A"/>
    <w:rsid w:val="003425F2"/>
    <w:rsid w:val="0034312C"/>
    <w:rsid w:val="00343456"/>
    <w:rsid w:val="00344566"/>
    <w:rsid w:val="00344773"/>
    <w:rsid w:val="00344A1B"/>
    <w:rsid w:val="00346A24"/>
    <w:rsid w:val="00347147"/>
    <w:rsid w:val="00347298"/>
    <w:rsid w:val="003507E3"/>
    <w:rsid w:val="00350882"/>
    <w:rsid w:val="00351CA6"/>
    <w:rsid w:val="00351D2A"/>
    <w:rsid w:val="00352E42"/>
    <w:rsid w:val="00353FC1"/>
    <w:rsid w:val="00354270"/>
    <w:rsid w:val="0035447F"/>
    <w:rsid w:val="0035590D"/>
    <w:rsid w:val="00355EAE"/>
    <w:rsid w:val="00356F6C"/>
    <w:rsid w:val="00360416"/>
    <w:rsid w:val="00360E91"/>
    <w:rsid w:val="00361861"/>
    <w:rsid w:val="003629D1"/>
    <w:rsid w:val="003633CD"/>
    <w:rsid w:val="00363C7B"/>
    <w:rsid w:val="00363FCE"/>
    <w:rsid w:val="003640A0"/>
    <w:rsid w:val="0036478F"/>
    <w:rsid w:val="00373FE1"/>
    <w:rsid w:val="0038078F"/>
    <w:rsid w:val="003819C5"/>
    <w:rsid w:val="003819D0"/>
    <w:rsid w:val="00382CFA"/>
    <w:rsid w:val="00383053"/>
    <w:rsid w:val="003830E3"/>
    <w:rsid w:val="003833C2"/>
    <w:rsid w:val="003855B6"/>
    <w:rsid w:val="003869EC"/>
    <w:rsid w:val="00386A34"/>
    <w:rsid w:val="00390FC0"/>
    <w:rsid w:val="003917F5"/>
    <w:rsid w:val="003A16EF"/>
    <w:rsid w:val="003A1BD0"/>
    <w:rsid w:val="003A226C"/>
    <w:rsid w:val="003A2599"/>
    <w:rsid w:val="003A3DF9"/>
    <w:rsid w:val="003A7183"/>
    <w:rsid w:val="003B18B8"/>
    <w:rsid w:val="003B1F1F"/>
    <w:rsid w:val="003B3E3A"/>
    <w:rsid w:val="003B7F14"/>
    <w:rsid w:val="003C1C93"/>
    <w:rsid w:val="003C38BE"/>
    <w:rsid w:val="003C40E3"/>
    <w:rsid w:val="003C5A72"/>
    <w:rsid w:val="003C5AD7"/>
    <w:rsid w:val="003C61A0"/>
    <w:rsid w:val="003C6230"/>
    <w:rsid w:val="003C7E3B"/>
    <w:rsid w:val="003D1859"/>
    <w:rsid w:val="003D1EFA"/>
    <w:rsid w:val="003D2E7C"/>
    <w:rsid w:val="003D300E"/>
    <w:rsid w:val="003D3397"/>
    <w:rsid w:val="003D4FC6"/>
    <w:rsid w:val="003D59C8"/>
    <w:rsid w:val="003D763C"/>
    <w:rsid w:val="003E031E"/>
    <w:rsid w:val="003E0D6A"/>
    <w:rsid w:val="003E14CD"/>
    <w:rsid w:val="003E32BC"/>
    <w:rsid w:val="003E34BF"/>
    <w:rsid w:val="003E5485"/>
    <w:rsid w:val="003E79A8"/>
    <w:rsid w:val="003F03D9"/>
    <w:rsid w:val="003F1A9E"/>
    <w:rsid w:val="003F1C2C"/>
    <w:rsid w:val="003F380F"/>
    <w:rsid w:val="003F401C"/>
    <w:rsid w:val="003F455D"/>
    <w:rsid w:val="003F4F6E"/>
    <w:rsid w:val="003F54EF"/>
    <w:rsid w:val="00404A1B"/>
    <w:rsid w:val="00405957"/>
    <w:rsid w:val="004076CE"/>
    <w:rsid w:val="0040794E"/>
    <w:rsid w:val="00407BB0"/>
    <w:rsid w:val="00410395"/>
    <w:rsid w:val="0041261A"/>
    <w:rsid w:val="00412D65"/>
    <w:rsid w:val="00413ADF"/>
    <w:rsid w:val="00414E4D"/>
    <w:rsid w:val="00414E77"/>
    <w:rsid w:val="00415348"/>
    <w:rsid w:val="00415A7F"/>
    <w:rsid w:val="00416096"/>
    <w:rsid w:val="00416CEB"/>
    <w:rsid w:val="0042092F"/>
    <w:rsid w:val="00421450"/>
    <w:rsid w:val="004222EC"/>
    <w:rsid w:val="004231E8"/>
    <w:rsid w:val="0042380A"/>
    <w:rsid w:val="00423BC4"/>
    <w:rsid w:val="00423DD9"/>
    <w:rsid w:val="004246B5"/>
    <w:rsid w:val="004252B5"/>
    <w:rsid w:val="00427A75"/>
    <w:rsid w:val="00430307"/>
    <w:rsid w:val="004310EB"/>
    <w:rsid w:val="004313B6"/>
    <w:rsid w:val="004317D0"/>
    <w:rsid w:val="00432967"/>
    <w:rsid w:val="0043324D"/>
    <w:rsid w:val="004361D3"/>
    <w:rsid w:val="00437167"/>
    <w:rsid w:val="004375B3"/>
    <w:rsid w:val="004402EC"/>
    <w:rsid w:val="00440568"/>
    <w:rsid w:val="00440DD9"/>
    <w:rsid w:val="004418EE"/>
    <w:rsid w:val="004446BF"/>
    <w:rsid w:val="004449DF"/>
    <w:rsid w:val="0044584C"/>
    <w:rsid w:val="00445B8E"/>
    <w:rsid w:val="0044679B"/>
    <w:rsid w:val="00446887"/>
    <w:rsid w:val="00446F02"/>
    <w:rsid w:val="0044725F"/>
    <w:rsid w:val="00447467"/>
    <w:rsid w:val="0044751E"/>
    <w:rsid w:val="0044760E"/>
    <w:rsid w:val="00447CED"/>
    <w:rsid w:val="00450AFA"/>
    <w:rsid w:val="00454A94"/>
    <w:rsid w:val="0045561E"/>
    <w:rsid w:val="00460DC5"/>
    <w:rsid w:val="00461E38"/>
    <w:rsid w:val="004629ED"/>
    <w:rsid w:val="00462B4E"/>
    <w:rsid w:val="00463EB7"/>
    <w:rsid w:val="004642D1"/>
    <w:rsid w:val="004644DA"/>
    <w:rsid w:val="00465020"/>
    <w:rsid w:val="0046583D"/>
    <w:rsid w:val="004672E3"/>
    <w:rsid w:val="00467DAC"/>
    <w:rsid w:val="0047065D"/>
    <w:rsid w:val="0047354E"/>
    <w:rsid w:val="004756FB"/>
    <w:rsid w:val="004767A4"/>
    <w:rsid w:val="00482C9C"/>
    <w:rsid w:val="00485A11"/>
    <w:rsid w:val="0048660A"/>
    <w:rsid w:val="0049122F"/>
    <w:rsid w:val="00491D21"/>
    <w:rsid w:val="00493489"/>
    <w:rsid w:val="00494C77"/>
    <w:rsid w:val="004950A3"/>
    <w:rsid w:val="004953C0"/>
    <w:rsid w:val="00495B43"/>
    <w:rsid w:val="00495CD8"/>
    <w:rsid w:val="004A1241"/>
    <w:rsid w:val="004A1E1F"/>
    <w:rsid w:val="004A34F5"/>
    <w:rsid w:val="004A4310"/>
    <w:rsid w:val="004A5DDC"/>
    <w:rsid w:val="004A7390"/>
    <w:rsid w:val="004A7C8A"/>
    <w:rsid w:val="004B2AFD"/>
    <w:rsid w:val="004B388A"/>
    <w:rsid w:val="004B3CF4"/>
    <w:rsid w:val="004B6322"/>
    <w:rsid w:val="004B643C"/>
    <w:rsid w:val="004B7C5F"/>
    <w:rsid w:val="004C03AC"/>
    <w:rsid w:val="004C1083"/>
    <w:rsid w:val="004C1CFF"/>
    <w:rsid w:val="004C2B5F"/>
    <w:rsid w:val="004C5C6A"/>
    <w:rsid w:val="004C613A"/>
    <w:rsid w:val="004C642A"/>
    <w:rsid w:val="004C7381"/>
    <w:rsid w:val="004D1F6F"/>
    <w:rsid w:val="004D4E6A"/>
    <w:rsid w:val="004E0BB9"/>
    <w:rsid w:val="004E1017"/>
    <w:rsid w:val="004E1D70"/>
    <w:rsid w:val="004E5C14"/>
    <w:rsid w:val="004E6E75"/>
    <w:rsid w:val="004E778C"/>
    <w:rsid w:val="004E7E28"/>
    <w:rsid w:val="004F0F68"/>
    <w:rsid w:val="004F472C"/>
    <w:rsid w:val="004F5DFE"/>
    <w:rsid w:val="004F5F63"/>
    <w:rsid w:val="004F6B3E"/>
    <w:rsid w:val="004F74ED"/>
    <w:rsid w:val="004F7786"/>
    <w:rsid w:val="005008F6"/>
    <w:rsid w:val="00501A7B"/>
    <w:rsid w:val="00501EE4"/>
    <w:rsid w:val="00502652"/>
    <w:rsid w:val="00503FBF"/>
    <w:rsid w:val="005049D5"/>
    <w:rsid w:val="005052FA"/>
    <w:rsid w:val="00507461"/>
    <w:rsid w:val="00507464"/>
    <w:rsid w:val="0051189B"/>
    <w:rsid w:val="005135B0"/>
    <w:rsid w:val="0051379E"/>
    <w:rsid w:val="005155BB"/>
    <w:rsid w:val="00515E91"/>
    <w:rsid w:val="0051653E"/>
    <w:rsid w:val="00517165"/>
    <w:rsid w:val="00517177"/>
    <w:rsid w:val="00517A8E"/>
    <w:rsid w:val="00517CA7"/>
    <w:rsid w:val="00520749"/>
    <w:rsid w:val="005218A4"/>
    <w:rsid w:val="005220F7"/>
    <w:rsid w:val="005226B5"/>
    <w:rsid w:val="00522D16"/>
    <w:rsid w:val="00523A88"/>
    <w:rsid w:val="00523C2C"/>
    <w:rsid w:val="00524E7E"/>
    <w:rsid w:val="005255A6"/>
    <w:rsid w:val="0052687F"/>
    <w:rsid w:val="00526ECA"/>
    <w:rsid w:val="00526EDA"/>
    <w:rsid w:val="00530446"/>
    <w:rsid w:val="00530479"/>
    <w:rsid w:val="00532FBE"/>
    <w:rsid w:val="005340E5"/>
    <w:rsid w:val="00534AF3"/>
    <w:rsid w:val="0053593B"/>
    <w:rsid w:val="0053632A"/>
    <w:rsid w:val="00536AF9"/>
    <w:rsid w:val="00537ACA"/>
    <w:rsid w:val="00540516"/>
    <w:rsid w:val="00540D0C"/>
    <w:rsid w:val="0054141F"/>
    <w:rsid w:val="005418AD"/>
    <w:rsid w:val="00541B9E"/>
    <w:rsid w:val="00542289"/>
    <w:rsid w:val="00543762"/>
    <w:rsid w:val="00543F2C"/>
    <w:rsid w:val="0054614F"/>
    <w:rsid w:val="0054667A"/>
    <w:rsid w:val="005503FB"/>
    <w:rsid w:val="005507AC"/>
    <w:rsid w:val="00553546"/>
    <w:rsid w:val="005535E9"/>
    <w:rsid w:val="005541F2"/>
    <w:rsid w:val="00555731"/>
    <w:rsid w:val="005568CF"/>
    <w:rsid w:val="005570BA"/>
    <w:rsid w:val="0056065A"/>
    <w:rsid w:val="00560D70"/>
    <w:rsid w:val="00561C37"/>
    <w:rsid w:val="00562B21"/>
    <w:rsid w:val="00563366"/>
    <w:rsid w:val="0056412D"/>
    <w:rsid w:val="00567941"/>
    <w:rsid w:val="005734BA"/>
    <w:rsid w:val="005766EC"/>
    <w:rsid w:val="005810D7"/>
    <w:rsid w:val="00581408"/>
    <w:rsid w:val="00581619"/>
    <w:rsid w:val="005819F7"/>
    <w:rsid w:val="00581A37"/>
    <w:rsid w:val="005825C4"/>
    <w:rsid w:val="005861DC"/>
    <w:rsid w:val="00590D5B"/>
    <w:rsid w:val="005916B1"/>
    <w:rsid w:val="00593CCF"/>
    <w:rsid w:val="0059511B"/>
    <w:rsid w:val="00595187"/>
    <w:rsid w:val="005979F3"/>
    <w:rsid w:val="005A05E6"/>
    <w:rsid w:val="005A08FB"/>
    <w:rsid w:val="005A41AD"/>
    <w:rsid w:val="005A5883"/>
    <w:rsid w:val="005A621B"/>
    <w:rsid w:val="005A660C"/>
    <w:rsid w:val="005A7123"/>
    <w:rsid w:val="005A723F"/>
    <w:rsid w:val="005A749E"/>
    <w:rsid w:val="005B088B"/>
    <w:rsid w:val="005B2978"/>
    <w:rsid w:val="005B3A5C"/>
    <w:rsid w:val="005B3E39"/>
    <w:rsid w:val="005B5D63"/>
    <w:rsid w:val="005B5FBE"/>
    <w:rsid w:val="005B621B"/>
    <w:rsid w:val="005B72F8"/>
    <w:rsid w:val="005B7C38"/>
    <w:rsid w:val="005C068D"/>
    <w:rsid w:val="005C1F96"/>
    <w:rsid w:val="005C367E"/>
    <w:rsid w:val="005C5BDA"/>
    <w:rsid w:val="005C5E66"/>
    <w:rsid w:val="005C6CB8"/>
    <w:rsid w:val="005D7E73"/>
    <w:rsid w:val="005E011E"/>
    <w:rsid w:val="005E1566"/>
    <w:rsid w:val="005E1FC1"/>
    <w:rsid w:val="005E28D6"/>
    <w:rsid w:val="005E3615"/>
    <w:rsid w:val="005E4962"/>
    <w:rsid w:val="005E641E"/>
    <w:rsid w:val="005E6D1B"/>
    <w:rsid w:val="005F1223"/>
    <w:rsid w:val="005F1CD2"/>
    <w:rsid w:val="005F22E9"/>
    <w:rsid w:val="005F2E5D"/>
    <w:rsid w:val="005F47DB"/>
    <w:rsid w:val="005F6D50"/>
    <w:rsid w:val="005F7159"/>
    <w:rsid w:val="005F7414"/>
    <w:rsid w:val="005F776B"/>
    <w:rsid w:val="00602553"/>
    <w:rsid w:val="00603D30"/>
    <w:rsid w:val="00604ED6"/>
    <w:rsid w:val="006053AF"/>
    <w:rsid w:val="00606342"/>
    <w:rsid w:val="006063DC"/>
    <w:rsid w:val="00607DF6"/>
    <w:rsid w:val="00613328"/>
    <w:rsid w:val="00614304"/>
    <w:rsid w:val="00615AA7"/>
    <w:rsid w:val="006207B6"/>
    <w:rsid w:val="0062153F"/>
    <w:rsid w:val="006225F7"/>
    <w:rsid w:val="00622DF0"/>
    <w:rsid w:val="00623B0B"/>
    <w:rsid w:val="006279B8"/>
    <w:rsid w:val="00630CB0"/>
    <w:rsid w:val="00631BDD"/>
    <w:rsid w:val="00632FCD"/>
    <w:rsid w:val="00636762"/>
    <w:rsid w:val="00637BF9"/>
    <w:rsid w:val="006409E2"/>
    <w:rsid w:val="00641F10"/>
    <w:rsid w:val="00642892"/>
    <w:rsid w:val="00645A33"/>
    <w:rsid w:val="00646070"/>
    <w:rsid w:val="00646460"/>
    <w:rsid w:val="0064773C"/>
    <w:rsid w:val="0064790F"/>
    <w:rsid w:val="00647A04"/>
    <w:rsid w:val="00652032"/>
    <w:rsid w:val="006526EF"/>
    <w:rsid w:val="006528CA"/>
    <w:rsid w:val="006538E5"/>
    <w:rsid w:val="006541E5"/>
    <w:rsid w:val="00654A72"/>
    <w:rsid w:val="0065744B"/>
    <w:rsid w:val="0065746E"/>
    <w:rsid w:val="006624EA"/>
    <w:rsid w:val="00662602"/>
    <w:rsid w:val="006653E2"/>
    <w:rsid w:val="006657FD"/>
    <w:rsid w:val="0066591F"/>
    <w:rsid w:val="00667550"/>
    <w:rsid w:val="00671215"/>
    <w:rsid w:val="006712C2"/>
    <w:rsid w:val="00671985"/>
    <w:rsid w:val="00671D29"/>
    <w:rsid w:val="00673607"/>
    <w:rsid w:val="00674250"/>
    <w:rsid w:val="00675151"/>
    <w:rsid w:val="00683461"/>
    <w:rsid w:val="0068447A"/>
    <w:rsid w:val="00685056"/>
    <w:rsid w:val="006855B6"/>
    <w:rsid w:val="006858E9"/>
    <w:rsid w:val="006860D9"/>
    <w:rsid w:val="00690095"/>
    <w:rsid w:val="006902BF"/>
    <w:rsid w:val="00690A4E"/>
    <w:rsid w:val="006915D6"/>
    <w:rsid w:val="00693B28"/>
    <w:rsid w:val="00697CF2"/>
    <w:rsid w:val="006A5E6A"/>
    <w:rsid w:val="006A6310"/>
    <w:rsid w:val="006A6857"/>
    <w:rsid w:val="006A74EB"/>
    <w:rsid w:val="006B4392"/>
    <w:rsid w:val="006B4CD1"/>
    <w:rsid w:val="006B5A89"/>
    <w:rsid w:val="006C1060"/>
    <w:rsid w:val="006C1232"/>
    <w:rsid w:val="006C1A5A"/>
    <w:rsid w:val="006C1E65"/>
    <w:rsid w:val="006C304E"/>
    <w:rsid w:val="006C3BDA"/>
    <w:rsid w:val="006C3C1B"/>
    <w:rsid w:val="006C47B2"/>
    <w:rsid w:val="006C4CD7"/>
    <w:rsid w:val="006C6ADD"/>
    <w:rsid w:val="006D0F1A"/>
    <w:rsid w:val="006D1922"/>
    <w:rsid w:val="006D3D94"/>
    <w:rsid w:val="006D4E96"/>
    <w:rsid w:val="006D50B8"/>
    <w:rsid w:val="006D51C9"/>
    <w:rsid w:val="006D560F"/>
    <w:rsid w:val="006D764F"/>
    <w:rsid w:val="006E08DE"/>
    <w:rsid w:val="006E1ED6"/>
    <w:rsid w:val="006E2C83"/>
    <w:rsid w:val="006E59E3"/>
    <w:rsid w:val="006E5B13"/>
    <w:rsid w:val="006E614E"/>
    <w:rsid w:val="006F0AF1"/>
    <w:rsid w:val="006F3AEF"/>
    <w:rsid w:val="006F67B8"/>
    <w:rsid w:val="00700756"/>
    <w:rsid w:val="00703015"/>
    <w:rsid w:val="00703C2D"/>
    <w:rsid w:val="00703F9F"/>
    <w:rsid w:val="0070540A"/>
    <w:rsid w:val="0070644C"/>
    <w:rsid w:val="0070767A"/>
    <w:rsid w:val="00707F71"/>
    <w:rsid w:val="00712C01"/>
    <w:rsid w:val="00713D4F"/>
    <w:rsid w:val="0071697A"/>
    <w:rsid w:val="007211DA"/>
    <w:rsid w:val="00721688"/>
    <w:rsid w:val="00722582"/>
    <w:rsid w:val="00722A33"/>
    <w:rsid w:val="00724F4F"/>
    <w:rsid w:val="00725E25"/>
    <w:rsid w:val="007264A6"/>
    <w:rsid w:val="00727759"/>
    <w:rsid w:val="00732B6C"/>
    <w:rsid w:val="00732DD8"/>
    <w:rsid w:val="007368B4"/>
    <w:rsid w:val="0073748D"/>
    <w:rsid w:val="00740460"/>
    <w:rsid w:val="00741F17"/>
    <w:rsid w:val="00742324"/>
    <w:rsid w:val="007431E2"/>
    <w:rsid w:val="0074489D"/>
    <w:rsid w:val="00746228"/>
    <w:rsid w:val="007474F4"/>
    <w:rsid w:val="00752249"/>
    <w:rsid w:val="00754A4E"/>
    <w:rsid w:val="00755969"/>
    <w:rsid w:val="0075635C"/>
    <w:rsid w:val="00757B09"/>
    <w:rsid w:val="007606CC"/>
    <w:rsid w:val="0076173D"/>
    <w:rsid w:val="007621C1"/>
    <w:rsid w:val="007625E6"/>
    <w:rsid w:val="00763393"/>
    <w:rsid w:val="0076368A"/>
    <w:rsid w:val="0076531D"/>
    <w:rsid w:val="00765C94"/>
    <w:rsid w:val="00767136"/>
    <w:rsid w:val="00767396"/>
    <w:rsid w:val="00767E20"/>
    <w:rsid w:val="00771427"/>
    <w:rsid w:val="00772CC2"/>
    <w:rsid w:val="00773499"/>
    <w:rsid w:val="00773F2B"/>
    <w:rsid w:val="00774F41"/>
    <w:rsid w:val="0077560D"/>
    <w:rsid w:val="007756FF"/>
    <w:rsid w:val="00777056"/>
    <w:rsid w:val="0077763B"/>
    <w:rsid w:val="00777691"/>
    <w:rsid w:val="007778AA"/>
    <w:rsid w:val="00780AC3"/>
    <w:rsid w:val="00783709"/>
    <w:rsid w:val="007846C7"/>
    <w:rsid w:val="00784976"/>
    <w:rsid w:val="00785EC4"/>
    <w:rsid w:val="007869E4"/>
    <w:rsid w:val="00786D85"/>
    <w:rsid w:val="00797226"/>
    <w:rsid w:val="0079728D"/>
    <w:rsid w:val="00797311"/>
    <w:rsid w:val="007A154F"/>
    <w:rsid w:val="007A2999"/>
    <w:rsid w:val="007A4AA6"/>
    <w:rsid w:val="007A6E55"/>
    <w:rsid w:val="007A75F7"/>
    <w:rsid w:val="007A7BD3"/>
    <w:rsid w:val="007B1BED"/>
    <w:rsid w:val="007B266A"/>
    <w:rsid w:val="007B4D43"/>
    <w:rsid w:val="007B4EE2"/>
    <w:rsid w:val="007B5756"/>
    <w:rsid w:val="007B7BB5"/>
    <w:rsid w:val="007C098B"/>
    <w:rsid w:val="007C15C4"/>
    <w:rsid w:val="007C2A17"/>
    <w:rsid w:val="007C41EA"/>
    <w:rsid w:val="007C69B6"/>
    <w:rsid w:val="007C7914"/>
    <w:rsid w:val="007D010B"/>
    <w:rsid w:val="007D2CBC"/>
    <w:rsid w:val="007D3D84"/>
    <w:rsid w:val="007D440A"/>
    <w:rsid w:val="007D4A29"/>
    <w:rsid w:val="007D5367"/>
    <w:rsid w:val="007D6699"/>
    <w:rsid w:val="007D76DC"/>
    <w:rsid w:val="007D7FE7"/>
    <w:rsid w:val="007E08AB"/>
    <w:rsid w:val="007E4148"/>
    <w:rsid w:val="007E49AB"/>
    <w:rsid w:val="007E5C49"/>
    <w:rsid w:val="007E7511"/>
    <w:rsid w:val="007E7B56"/>
    <w:rsid w:val="007F0C77"/>
    <w:rsid w:val="007F1241"/>
    <w:rsid w:val="007F3A8D"/>
    <w:rsid w:val="007F5B44"/>
    <w:rsid w:val="007F6E84"/>
    <w:rsid w:val="008012AD"/>
    <w:rsid w:val="0080198D"/>
    <w:rsid w:val="00801B60"/>
    <w:rsid w:val="00801C48"/>
    <w:rsid w:val="008049E7"/>
    <w:rsid w:val="00805E7D"/>
    <w:rsid w:val="00806124"/>
    <w:rsid w:val="00806D94"/>
    <w:rsid w:val="00810FFA"/>
    <w:rsid w:val="00812519"/>
    <w:rsid w:val="00812778"/>
    <w:rsid w:val="008129FB"/>
    <w:rsid w:val="00812C81"/>
    <w:rsid w:val="00812EF7"/>
    <w:rsid w:val="00814D78"/>
    <w:rsid w:val="008155D9"/>
    <w:rsid w:val="008160A1"/>
    <w:rsid w:val="00816B8D"/>
    <w:rsid w:val="00816D72"/>
    <w:rsid w:val="008175E4"/>
    <w:rsid w:val="008219D9"/>
    <w:rsid w:val="00822734"/>
    <w:rsid w:val="00824D63"/>
    <w:rsid w:val="00824FEC"/>
    <w:rsid w:val="00825F7E"/>
    <w:rsid w:val="00826E49"/>
    <w:rsid w:val="008274A3"/>
    <w:rsid w:val="00827771"/>
    <w:rsid w:val="0083224D"/>
    <w:rsid w:val="00833C85"/>
    <w:rsid w:val="008344A1"/>
    <w:rsid w:val="00835221"/>
    <w:rsid w:val="00835492"/>
    <w:rsid w:val="00837C18"/>
    <w:rsid w:val="00840326"/>
    <w:rsid w:val="008409B6"/>
    <w:rsid w:val="00843CE0"/>
    <w:rsid w:val="008467B5"/>
    <w:rsid w:val="00846EA0"/>
    <w:rsid w:val="00847BD8"/>
    <w:rsid w:val="00850822"/>
    <w:rsid w:val="00852756"/>
    <w:rsid w:val="008527C7"/>
    <w:rsid w:val="00852B0F"/>
    <w:rsid w:val="008548F3"/>
    <w:rsid w:val="00857BF5"/>
    <w:rsid w:val="008620D2"/>
    <w:rsid w:val="0086286C"/>
    <w:rsid w:val="00867279"/>
    <w:rsid w:val="0087138B"/>
    <w:rsid w:val="00873320"/>
    <w:rsid w:val="00873CF3"/>
    <w:rsid w:val="00874CE8"/>
    <w:rsid w:val="00874D29"/>
    <w:rsid w:val="00876950"/>
    <w:rsid w:val="00877049"/>
    <w:rsid w:val="008821FD"/>
    <w:rsid w:val="00882563"/>
    <w:rsid w:val="008826F2"/>
    <w:rsid w:val="00882923"/>
    <w:rsid w:val="00884A89"/>
    <w:rsid w:val="00885903"/>
    <w:rsid w:val="00886601"/>
    <w:rsid w:val="00886E5F"/>
    <w:rsid w:val="00887AAD"/>
    <w:rsid w:val="00887FDD"/>
    <w:rsid w:val="0089127F"/>
    <w:rsid w:val="00891A95"/>
    <w:rsid w:val="008931F5"/>
    <w:rsid w:val="008941C2"/>
    <w:rsid w:val="008945C2"/>
    <w:rsid w:val="00896C1E"/>
    <w:rsid w:val="008A05FE"/>
    <w:rsid w:val="008A47B7"/>
    <w:rsid w:val="008A4E4A"/>
    <w:rsid w:val="008A53FF"/>
    <w:rsid w:val="008A6C42"/>
    <w:rsid w:val="008A732A"/>
    <w:rsid w:val="008A7CFC"/>
    <w:rsid w:val="008B05E9"/>
    <w:rsid w:val="008B3E96"/>
    <w:rsid w:val="008B5AEE"/>
    <w:rsid w:val="008B5BB1"/>
    <w:rsid w:val="008B5C1F"/>
    <w:rsid w:val="008B66B3"/>
    <w:rsid w:val="008C1AFC"/>
    <w:rsid w:val="008C1B8C"/>
    <w:rsid w:val="008C1F4D"/>
    <w:rsid w:val="008C1F5E"/>
    <w:rsid w:val="008C25B5"/>
    <w:rsid w:val="008C2BE9"/>
    <w:rsid w:val="008C2E59"/>
    <w:rsid w:val="008C43A8"/>
    <w:rsid w:val="008C48C1"/>
    <w:rsid w:val="008C5986"/>
    <w:rsid w:val="008C5BA5"/>
    <w:rsid w:val="008C5DA6"/>
    <w:rsid w:val="008D026B"/>
    <w:rsid w:val="008D0C2B"/>
    <w:rsid w:val="008D1243"/>
    <w:rsid w:val="008D1D4C"/>
    <w:rsid w:val="008D1DA1"/>
    <w:rsid w:val="008D23B7"/>
    <w:rsid w:val="008D2A8B"/>
    <w:rsid w:val="008D3C1D"/>
    <w:rsid w:val="008D4925"/>
    <w:rsid w:val="008D5BF8"/>
    <w:rsid w:val="008D67E6"/>
    <w:rsid w:val="008D689F"/>
    <w:rsid w:val="008D789C"/>
    <w:rsid w:val="008D7AE9"/>
    <w:rsid w:val="008E0863"/>
    <w:rsid w:val="008E0C75"/>
    <w:rsid w:val="008E1831"/>
    <w:rsid w:val="008E4CA8"/>
    <w:rsid w:val="008E62A5"/>
    <w:rsid w:val="008E66D9"/>
    <w:rsid w:val="008E6F3D"/>
    <w:rsid w:val="008E7AB7"/>
    <w:rsid w:val="008F05A2"/>
    <w:rsid w:val="008F0E00"/>
    <w:rsid w:val="008F2360"/>
    <w:rsid w:val="008F2F82"/>
    <w:rsid w:val="008F359E"/>
    <w:rsid w:val="008F5C91"/>
    <w:rsid w:val="008F6EC2"/>
    <w:rsid w:val="00900091"/>
    <w:rsid w:val="00900F18"/>
    <w:rsid w:val="00904C52"/>
    <w:rsid w:val="00907B23"/>
    <w:rsid w:val="009100C5"/>
    <w:rsid w:val="009102E3"/>
    <w:rsid w:val="0091158C"/>
    <w:rsid w:val="009128D7"/>
    <w:rsid w:val="00913652"/>
    <w:rsid w:val="00913EA6"/>
    <w:rsid w:val="00913F6F"/>
    <w:rsid w:val="0091451D"/>
    <w:rsid w:val="009156C1"/>
    <w:rsid w:val="009158EF"/>
    <w:rsid w:val="00916840"/>
    <w:rsid w:val="009168FF"/>
    <w:rsid w:val="00916FBF"/>
    <w:rsid w:val="00917A32"/>
    <w:rsid w:val="00920AB9"/>
    <w:rsid w:val="00920F18"/>
    <w:rsid w:val="00921792"/>
    <w:rsid w:val="009219BA"/>
    <w:rsid w:val="00921C0B"/>
    <w:rsid w:val="00921C11"/>
    <w:rsid w:val="0092206B"/>
    <w:rsid w:val="00923B13"/>
    <w:rsid w:val="00924C23"/>
    <w:rsid w:val="00925C24"/>
    <w:rsid w:val="00925E9A"/>
    <w:rsid w:val="009267DE"/>
    <w:rsid w:val="0093120A"/>
    <w:rsid w:val="00931AC3"/>
    <w:rsid w:val="0093290C"/>
    <w:rsid w:val="00932C80"/>
    <w:rsid w:val="00932EF7"/>
    <w:rsid w:val="009334C2"/>
    <w:rsid w:val="0093516F"/>
    <w:rsid w:val="009352DF"/>
    <w:rsid w:val="00935D54"/>
    <w:rsid w:val="0093699D"/>
    <w:rsid w:val="00936D6B"/>
    <w:rsid w:val="00937136"/>
    <w:rsid w:val="00937523"/>
    <w:rsid w:val="00941E3B"/>
    <w:rsid w:val="00943A7A"/>
    <w:rsid w:val="0094444B"/>
    <w:rsid w:val="0094545A"/>
    <w:rsid w:val="009455D3"/>
    <w:rsid w:val="0094608D"/>
    <w:rsid w:val="00947666"/>
    <w:rsid w:val="009505AB"/>
    <w:rsid w:val="00950F44"/>
    <w:rsid w:val="00951775"/>
    <w:rsid w:val="009518C2"/>
    <w:rsid w:val="00951B83"/>
    <w:rsid w:val="009551B9"/>
    <w:rsid w:val="00955799"/>
    <w:rsid w:val="0095617F"/>
    <w:rsid w:val="009565F5"/>
    <w:rsid w:val="00957317"/>
    <w:rsid w:val="00957D95"/>
    <w:rsid w:val="00960D5C"/>
    <w:rsid w:val="00963464"/>
    <w:rsid w:val="00963BA7"/>
    <w:rsid w:val="00965E17"/>
    <w:rsid w:val="00966D41"/>
    <w:rsid w:val="00967201"/>
    <w:rsid w:val="00970B9A"/>
    <w:rsid w:val="00971328"/>
    <w:rsid w:val="0097153A"/>
    <w:rsid w:val="00971696"/>
    <w:rsid w:val="009716C8"/>
    <w:rsid w:val="00972BAF"/>
    <w:rsid w:val="00973473"/>
    <w:rsid w:val="00973FC2"/>
    <w:rsid w:val="009752C6"/>
    <w:rsid w:val="0097678F"/>
    <w:rsid w:val="009770A5"/>
    <w:rsid w:val="009804DB"/>
    <w:rsid w:val="00980980"/>
    <w:rsid w:val="0098151C"/>
    <w:rsid w:val="009815EF"/>
    <w:rsid w:val="009827E5"/>
    <w:rsid w:val="0098301D"/>
    <w:rsid w:val="00983677"/>
    <w:rsid w:val="009837B9"/>
    <w:rsid w:val="0098417E"/>
    <w:rsid w:val="009847E2"/>
    <w:rsid w:val="00984DFB"/>
    <w:rsid w:val="0098621D"/>
    <w:rsid w:val="0098631B"/>
    <w:rsid w:val="009865EA"/>
    <w:rsid w:val="0098679A"/>
    <w:rsid w:val="00987145"/>
    <w:rsid w:val="009871FA"/>
    <w:rsid w:val="00987316"/>
    <w:rsid w:val="0098789E"/>
    <w:rsid w:val="00992468"/>
    <w:rsid w:val="00992F74"/>
    <w:rsid w:val="009935C3"/>
    <w:rsid w:val="009940E4"/>
    <w:rsid w:val="00994133"/>
    <w:rsid w:val="0099484E"/>
    <w:rsid w:val="00994A23"/>
    <w:rsid w:val="00996FE9"/>
    <w:rsid w:val="009A0C04"/>
    <w:rsid w:val="009A161B"/>
    <w:rsid w:val="009A2505"/>
    <w:rsid w:val="009A26D1"/>
    <w:rsid w:val="009A67D3"/>
    <w:rsid w:val="009A6950"/>
    <w:rsid w:val="009A6951"/>
    <w:rsid w:val="009A77A3"/>
    <w:rsid w:val="009B0E81"/>
    <w:rsid w:val="009B242B"/>
    <w:rsid w:val="009B5063"/>
    <w:rsid w:val="009B5AC1"/>
    <w:rsid w:val="009B7B81"/>
    <w:rsid w:val="009C02B2"/>
    <w:rsid w:val="009C2A71"/>
    <w:rsid w:val="009C66ED"/>
    <w:rsid w:val="009C6F87"/>
    <w:rsid w:val="009C76C0"/>
    <w:rsid w:val="009C7A44"/>
    <w:rsid w:val="009D1ADF"/>
    <w:rsid w:val="009D2081"/>
    <w:rsid w:val="009D2747"/>
    <w:rsid w:val="009D3E76"/>
    <w:rsid w:val="009D541E"/>
    <w:rsid w:val="009E079F"/>
    <w:rsid w:val="009E153C"/>
    <w:rsid w:val="009E1540"/>
    <w:rsid w:val="009E17C3"/>
    <w:rsid w:val="009E1EF0"/>
    <w:rsid w:val="009E4074"/>
    <w:rsid w:val="009E58A8"/>
    <w:rsid w:val="009E5A59"/>
    <w:rsid w:val="009E5B54"/>
    <w:rsid w:val="009E5DFD"/>
    <w:rsid w:val="009E62F7"/>
    <w:rsid w:val="009E63E5"/>
    <w:rsid w:val="009F3AE2"/>
    <w:rsid w:val="009F424C"/>
    <w:rsid w:val="009F451A"/>
    <w:rsid w:val="009F6566"/>
    <w:rsid w:val="009F67C7"/>
    <w:rsid w:val="009F796B"/>
    <w:rsid w:val="00A005F1"/>
    <w:rsid w:val="00A042DC"/>
    <w:rsid w:val="00A04531"/>
    <w:rsid w:val="00A04A43"/>
    <w:rsid w:val="00A07727"/>
    <w:rsid w:val="00A121CE"/>
    <w:rsid w:val="00A1271A"/>
    <w:rsid w:val="00A131F1"/>
    <w:rsid w:val="00A137E4"/>
    <w:rsid w:val="00A13945"/>
    <w:rsid w:val="00A14309"/>
    <w:rsid w:val="00A164AC"/>
    <w:rsid w:val="00A167E4"/>
    <w:rsid w:val="00A17AB5"/>
    <w:rsid w:val="00A20A72"/>
    <w:rsid w:val="00A216DB"/>
    <w:rsid w:val="00A217B4"/>
    <w:rsid w:val="00A220BF"/>
    <w:rsid w:val="00A23144"/>
    <w:rsid w:val="00A23C5F"/>
    <w:rsid w:val="00A2506D"/>
    <w:rsid w:val="00A25EC2"/>
    <w:rsid w:val="00A25F4D"/>
    <w:rsid w:val="00A27581"/>
    <w:rsid w:val="00A31307"/>
    <w:rsid w:val="00A31739"/>
    <w:rsid w:val="00A31BBC"/>
    <w:rsid w:val="00A331FA"/>
    <w:rsid w:val="00A34371"/>
    <w:rsid w:val="00A34841"/>
    <w:rsid w:val="00A34D22"/>
    <w:rsid w:val="00A377DD"/>
    <w:rsid w:val="00A40481"/>
    <w:rsid w:val="00A41C45"/>
    <w:rsid w:val="00A427A3"/>
    <w:rsid w:val="00A427EC"/>
    <w:rsid w:val="00A4619E"/>
    <w:rsid w:val="00A47DD2"/>
    <w:rsid w:val="00A5117D"/>
    <w:rsid w:val="00A52A01"/>
    <w:rsid w:val="00A53892"/>
    <w:rsid w:val="00A53A54"/>
    <w:rsid w:val="00A5663E"/>
    <w:rsid w:val="00A570E9"/>
    <w:rsid w:val="00A60AED"/>
    <w:rsid w:val="00A617CC"/>
    <w:rsid w:val="00A61ECD"/>
    <w:rsid w:val="00A6221B"/>
    <w:rsid w:val="00A629F7"/>
    <w:rsid w:val="00A641DB"/>
    <w:rsid w:val="00A656CC"/>
    <w:rsid w:val="00A6576B"/>
    <w:rsid w:val="00A65C4F"/>
    <w:rsid w:val="00A66570"/>
    <w:rsid w:val="00A6674F"/>
    <w:rsid w:val="00A70516"/>
    <w:rsid w:val="00A734D0"/>
    <w:rsid w:val="00A751A9"/>
    <w:rsid w:val="00A7555F"/>
    <w:rsid w:val="00A80E48"/>
    <w:rsid w:val="00A81D49"/>
    <w:rsid w:val="00A8237A"/>
    <w:rsid w:val="00A82A10"/>
    <w:rsid w:val="00A83799"/>
    <w:rsid w:val="00A83C9A"/>
    <w:rsid w:val="00A84BC8"/>
    <w:rsid w:val="00A963F5"/>
    <w:rsid w:val="00AA1AA5"/>
    <w:rsid w:val="00AA2EA3"/>
    <w:rsid w:val="00AA3BCB"/>
    <w:rsid w:val="00AA4550"/>
    <w:rsid w:val="00AA60DB"/>
    <w:rsid w:val="00AA7CEC"/>
    <w:rsid w:val="00AB1E49"/>
    <w:rsid w:val="00AB3989"/>
    <w:rsid w:val="00AB4551"/>
    <w:rsid w:val="00AB4694"/>
    <w:rsid w:val="00AB4BB2"/>
    <w:rsid w:val="00AB5B33"/>
    <w:rsid w:val="00AB61C7"/>
    <w:rsid w:val="00AB62A0"/>
    <w:rsid w:val="00AB6B89"/>
    <w:rsid w:val="00AB75A3"/>
    <w:rsid w:val="00AC005B"/>
    <w:rsid w:val="00AC10F8"/>
    <w:rsid w:val="00AC1C3D"/>
    <w:rsid w:val="00AC2CCD"/>
    <w:rsid w:val="00AC446D"/>
    <w:rsid w:val="00AC5BE9"/>
    <w:rsid w:val="00AC5D9D"/>
    <w:rsid w:val="00AC6798"/>
    <w:rsid w:val="00AC6D79"/>
    <w:rsid w:val="00AC6F57"/>
    <w:rsid w:val="00AD27A5"/>
    <w:rsid w:val="00AD6E88"/>
    <w:rsid w:val="00AE0C94"/>
    <w:rsid w:val="00AE0FEA"/>
    <w:rsid w:val="00AE1CBE"/>
    <w:rsid w:val="00AE2F67"/>
    <w:rsid w:val="00AE3C3D"/>
    <w:rsid w:val="00AE4185"/>
    <w:rsid w:val="00AE428C"/>
    <w:rsid w:val="00AE6034"/>
    <w:rsid w:val="00AE6D39"/>
    <w:rsid w:val="00AE6EBF"/>
    <w:rsid w:val="00AF1EF8"/>
    <w:rsid w:val="00AF44C4"/>
    <w:rsid w:val="00AF68CE"/>
    <w:rsid w:val="00AF71BA"/>
    <w:rsid w:val="00AF74DF"/>
    <w:rsid w:val="00B00732"/>
    <w:rsid w:val="00B01955"/>
    <w:rsid w:val="00B0232B"/>
    <w:rsid w:val="00B02D0C"/>
    <w:rsid w:val="00B02EBF"/>
    <w:rsid w:val="00B033B2"/>
    <w:rsid w:val="00B058E4"/>
    <w:rsid w:val="00B06B15"/>
    <w:rsid w:val="00B114AC"/>
    <w:rsid w:val="00B14791"/>
    <w:rsid w:val="00B17251"/>
    <w:rsid w:val="00B21813"/>
    <w:rsid w:val="00B21E14"/>
    <w:rsid w:val="00B225FF"/>
    <w:rsid w:val="00B22BA7"/>
    <w:rsid w:val="00B240FB"/>
    <w:rsid w:val="00B2612B"/>
    <w:rsid w:val="00B275F0"/>
    <w:rsid w:val="00B27B6F"/>
    <w:rsid w:val="00B303E4"/>
    <w:rsid w:val="00B31150"/>
    <w:rsid w:val="00B3173B"/>
    <w:rsid w:val="00B33991"/>
    <w:rsid w:val="00B33F79"/>
    <w:rsid w:val="00B34D6F"/>
    <w:rsid w:val="00B35488"/>
    <w:rsid w:val="00B36D33"/>
    <w:rsid w:val="00B37274"/>
    <w:rsid w:val="00B37AB4"/>
    <w:rsid w:val="00B4178F"/>
    <w:rsid w:val="00B420A0"/>
    <w:rsid w:val="00B4282B"/>
    <w:rsid w:val="00B43644"/>
    <w:rsid w:val="00B43D2F"/>
    <w:rsid w:val="00B44F16"/>
    <w:rsid w:val="00B506F7"/>
    <w:rsid w:val="00B50964"/>
    <w:rsid w:val="00B50AE5"/>
    <w:rsid w:val="00B53365"/>
    <w:rsid w:val="00B55A85"/>
    <w:rsid w:val="00B61DB5"/>
    <w:rsid w:val="00B62DB0"/>
    <w:rsid w:val="00B63B50"/>
    <w:rsid w:val="00B659DF"/>
    <w:rsid w:val="00B65FB7"/>
    <w:rsid w:val="00B66B3D"/>
    <w:rsid w:val="00B66C89"/>
    <w:rsid w:val="00B7105B"/>
    <w:rsid w:val="00B72256"/>
    <w:rsid w:val="00B73519"/>
    <w:rsid w:val="00B7389F"/>
    <w:rsid w:val="00B779EA"/>
    <w:rsid w:val="00B80336"/>
    <w:rsid w:val="00B82905"/>
    <w:rsid w:val="00B85A2E"/>
    <w:rsid w:val="00B86A8D"/>
    <w:rsid w:val="00B8747E"/>
    <w:rsid w:val="00B905A3"/>
    <w:rsid w:val="00B911E0"/>
    <w:rsid w:val="00B9401E"/>
    <w:rsid w:val="00B95A93"/>
    <w:rsid w:val="00B9798E"/>
    <w:rsid w:val="00B97C51"/>
    <w:rsid w:val="00BA02EF"/>
    <w:rsid w:val="00BA1703"/>
    <w:rsid w:val="00BA2D7D"/>
    <w:rsid w:val="00BA4C26"/>
    <w:rsid w:val="00BA4F1A"/>
    <w:rsid w:val="00BA5939"/>
    <w:rsid w:val="00BA663B"/>
    <w:rsid w:val="00BB1CE9"/>
    <w:rsid w:val="00BB30CA"/>
    <w:rsid w:val="00BB3490"/>
    <w:rsid w:val="00BB34CB"/>
    <w:rsid w:val="00BB3D47"/>
    <w:rsid w:val="00BB460E"/>
    <w:rsid w:val="00BB4B88"/>
    <w:rsid w:val="00BB6D31"/>
    <w:rsid w:val="00BB785D"/>
    <w:rsid w:val="00BC0909"/>
    <w:rsid w:val="00BC0B4D"/>
    <w:rsid w:val="00BC2D9C"/>
    <w:rsid w:val="00BC37CC"/>
    <w:rsid w:val="00BC44ED"/>
    <w:rsid w:val="00BC584B"/>
    <w:rsid w:val="00BD09DD"/>
    <w:rsid w:val="00BD12E2"/>
    <w:rsid w:val="00BD357F"/>
    <w:rsid w:val="00BD3A9A"/>
    <w:rsid w:val="00BD3DB0"/>
    <w:rsid w:val="00BD4443"/>
    <w:rsid w:val="00BD4E51"/>
    <w:rsid w:val="00BD50A1"/>
    <w:rsid w:val="00BD5B8D"/>
    <w:rsid w:val="00BD76BA"/>
    <w:rsid w:val="00BD79DE"/>
    <w:rsid w:val="00BE118A"/>
    <w:rsid w:val="00BE1C9E"/>
    <w:rsid w:val="00BE385D"/>
    <w:rsid w:val="00BE6A24"/>
    <w:rsid w:val="00BE777F"/>
    <w:rsid w:val="00BE7AFE"/>
    <w:rsid w:val="00BF078C"/>
    <w:rsid w:val="00BF1E31"/>
    <w:rsid w:val="00BF38D3"/>
    <w:rsid w:val="00BF52D4"/>
    <w:rsid w:val="00BF5641"/>
    <w:rsid w:val="00BF63FF"/>
    <w:rsid w:val="00BF782B"/>
    <w:rsid w:val="00BF7921"/>
    <w:rsid w:val="00C01EFF"/>
    <w:rsid w:val="00C02986"/>
    <w:rsid w:val="00C03870"/>
    <w:rsid w:val="00C07F0C"/>
    <w:rsid w:val="00C10156"/>
    <w:rsid w:val="00C11065"/>
    <w:rsid w:val="00C111C7"/>
    <w:rsid w:val="00C21DFF"/>
    <w:rsid w:val="00C22D62"/>
    <w:rsid w:val="00C23AA7"/>
    <w:rsid w:val="00C24D36"/>
    <w:rsid w:val="00C2569E"/>
    <w:rsid w:val="00C26389"/>
    <w:rsid w:val="00C263ED"/>
    <w:rsid w:val="00C2722D"/>
    <w:rsid w:val="00C2723F"/>
    <w:rsid w:val="00C31893"/>
    <w:rsid w:val="00C339E1"/>
    <w:rsid w:val="00C340EF"/>
    <w:rsid w:val="00C34671"/>
    <w:rsid w:val="00C35C60"/>
    <w:rsid w:val="00C36017"/>
    <w:rsid w:val="00C37895"/>
    <w:rsid w:val="00C40115"/>
    <w:rsid w:val="00C40E9C"/>
    <w:rsid w:val="00C41EE7"/>
    <w:rsid w:val="00C42636"/>
    <w:rsid w:val="00C44584"/>
    <w:rsid w:val="00C44BC0"/>
    <w:rsid w:val="00C44C0B"/>
    <w:rsid w:val="00C4782A"/>
    <w:rsid w:val="00C51C07"/>
    <w:rsid w:val="00C521EC"/>
    <w:rsid w:val="00C52C60"/>
    <w:rsid w:val="00C52EE7"/>
    <w:rsid w:val="00C53885"/>
    <w:rsid w:val="00C543E0"/>
    <w:rsid w:val="00C554C6"/>
    <w:rsid w:val="00C55D41"/>
    <w:rsid w:val="00C562F9"/>
    <w:rsid w:val="00C56CF7"/>
    <w:rsid w:val="00C57748"/>
    <w:rsid w:val="00C57EF0"/>
    <w:rsid w:val="00C616EA"/>
    <w:rsid w:val="00C624BD"/>
    <w:rsid w:val="00C6336C"/>
    <w:rsid w:val="00C63E98"/>
    <w:rsid w:val="00C6426F"/>
    <w:rsid w:val="00C644AD"/>
    <w:rsid w:val="00C65567"/>
    <w:rsid w:val="00C65848"/>
    <w:rsid w:val="00C666E8"/>
    <w:rsid w:val="00C670A3"/>
    <w:rsid w:val="00C67103"/>
    <w:rsid w:val="00C7299B"/>
    <w:rsid w:val="00C73449"/>
    <w:rsid w:val="00C73529"/>
    <w:rsid w:val="00C73C8C"/>
    <w:rsid w:val="00C74804"/>
    <w:rsid w:val="00C75A25"/>
    <w:rsid w:val="00C75A3D"/>
    <w:rsid w:val="00C76DE5"/>
    <w:rsid w:val="00C77115"/>
    <w:rsid w:val="00C771CF"/>
    <w:rsid w:val="00C77268"/>
    <w:rsid w:val="00C776B4"/>
    <w:rsid w:val="00C80110"/>
    <w:rsid w:val="00C80412"/>
    <w:rsid w:val="00C80FD5"/>
    <w:rsid w:val="00C81706"/>
    <w:rsid w:val="00C826A2"/>
    <w:rsid w:val="00C8278B"/>
    <w:rsid w:val="00C82BA8"/>
    <w:rsid w:val="00C83CAC"/>
    <w:rsid w:val="00C84295"/>
    <w:rsid w:val="00C85AA3"/>
    <w:rsid w:val="00C85C81"/>
    <w:rsid w:val="00C85C93"/>
    <w:rsid w:val="00C86DCF"/>
    <w:rsid w:val="00C87C5F"/>
    <w:rsid w:val="00C9021A"/>
    <w:rsid w:val="00C9091D"/>
    <w:rsid w:val="00C90D3A"/>
    <w:rsid w:val="00C918B8"/>
    <w:rsid w:val="00C91B9F"/>
    <w:rsid w:val="00C91C58"/>
    <w:rsid w:val="00C91ED3"/>
    <w:rsid w:val="00C94191"/>
    <w:rsid w:val="00C941B9"/>
    <w:rsid w:val="00C95ABA"/>
    <w:rsid w:val="00C979BC"/>
    <w:rsid w:val="00C97F84"/>
    <w:rsid w:val="00CA15A2"/>
    <w:rsid w:val="00CA26A6"/>
    <w:rsid w:val="00CA2B60"/>
    <w:rsid w:val="00CA32AE"/>
    <w:rsid w:val="00CA4064"/>
    <w:rsid w:val="00CA47D3"/>
    <w:rsid w:val="00CA7B4E"/>
    <w:rsid w:val="00CA7F1F"/>
    <w:rsid w:val="00CA7F8C"/>
    <w:rsid w:val="00CB1242"/>
    <w:rsid w:val="00CB374D"/>
    <w:rsid w:val="00CB38FB"/>
    <w:rsid w:val="00CB4267"/>
    <w:rsid w:val="00CB50CA"/>
    <w:rsid w:val="00CB5D95"/>
    <w:rsid w:val="00CB6202"/>
    <w:rsid w:val="00CB6890"/>
    <w:rsid w:val="00CB704A"/>
    <w:rsid w:val="00CB7438"/>
    <w:rsid w:val="00CC0ABB"/>
    <w:rsid w:val="00CC0AE5"/>
    <w:rsid w:val="00CC13AE"/>
    <w:rsid w:val="00CC48AC"/>
    <w:rsid w:val="00CC56D1"/>
    <w:rsid w:val="00CC70F2"/>
    <w:rsid w:val="00CC77F0"/>
    <w:rsid w:val="00CC7E72"/>
    <w:rsid w:val="00CD08A3"/>
    <w:rsid w:val="00CD127B"/>
    <w:rsid w:val="00CD3524"/>
    <w:rsid w:val="00CD3FBC"/>
    <w:rsid w:val="00CD492C"/>
    <w:rsid w:val="00CD4F53"/>
    <w:rsid w:val="00CD676B"/>
    <w:rsid w:val="00CD69CD"/>
    <w:rsid w:val="00CE04B1"/>
    <w:rsid w:val="00CE053A"/>
    <w:rsid w:val="00CE0770"/>
    <w:rsid w:val="00CE246D"/>
    <w:rsid w:val="00CE3196"/>
    <w:rsid w:val="00CE4366"/>
    <w:rsid w:val="00CE4B65"/>
    <w:rsid w:val="00CE4E2A"/>
    <w:rsid w:val="00CE6A6C"/>
    <w:rsid w:val="00CE778B"/>
    <w:rsid w:val="00CF09EF"/>
    <w:rsid w:val="00CF0F76"/>
    <w:rsid w:val="00CF1041"/>
    <w:rsid w:val="00CF135B"/>
    <w:rsid w:val="00CF21E3"/>
    <w:rsid w:val="00CF25EE"/>
    <w:rsid w:val="00CF7009"/>
    <w:rsid w:val="00CF7FC0"/>
    <w:rsid w:val="00D0028C"/>
    <w:rsid w:val="00D011BC"/>
    <w:rsid w:val="00D01BC0"/>
    <w:rsid w:val="00D0326E"/>
    <w:rsid w:val="00D0407D"/>
    <w:rsid w:val="00D04C43"/>
    <w:rsid w:val="00D0703E"/>
    <w:rsid w:val="00D12A2B"/>
    <w:rsid w:val="00D13E2D"/>
    <w:rsid w:val="00D15B01"/>
    <w:rsid w:val="00D161E1"/>
    <w:rsid w:val="00D20655"/>
    <w:rsid w:val="00D20AF8"/>
    <w:rsid w:val="00D213D5"/>
    <w:rsid w:val="00D264C4"/>
    <w:rsid w:val="00D31598"/>
    <w:rsid w:val="00D31F8A"/>
    <w:rsid w:val="00D32A11"/>
    <w:rsid w:val="00D32FF8"/>
    <w:rsid w:val="00D34626"/>
    <w:rsid w:val="00D34AA5"/>
    <w:rsid w:val="00D35BBA"/>
    <w:rsid w:val="00D36F3E"/>
    <w:rsid w:val="00D37F75"/>
    <w:rsid w:val="00D41300"/>
    <w:rsid w:val="00D41472"/>
    <w:rsid w:val="00D41721"/>
    <w:rsid w:val="00D41EED"/>
    <w:rsid w:val="00D41FFC"/>
    <w:rsid w:val="00D42BB3"/>
    <w:rsid w:val="00D43A58"/>
    <w:rsid w:val="00D44F5D"/>
    <w:rsid w:val="00D45C6E"/>
    <w:rsid w:val="00D4687E"/>
    <w:rsid w:val="00D46A52"/>
    <w:rsid w:val="00D46D52"/>
    <w:rsid w:val="00D46DE3"/>
    <w:rsid w:val="00D47A48"/>
    <w:rsid w:val="00D50479"/>
    <w:rsid w:val="00D5310F"/>
    <w:rsid w:val="00D545A5"/>
    <w:rsid w:val="00D55D9A"/>
    <w:rsid w:val="00D55F85"/>
    <w:rsid w:val="00D5650E"/>
    <w:rsid w:val="00D56801"/>
    <w:rsid w:val="00D56D69"/>
    <w:rsid w:val="00D628F4"/>
    <w:rsid w:val="00D63C8F"/>
    <w:rsid w:val="00D642EC"/>
    <w:rsid w:val="00D654BC"/>
    <w:rsid w:val="00D6563B"/>
    <w:rsid w:val="00D65C04"/>
    <w:rsid w:val="00D65DDD"/>
    <w:rsid w:val="00D65DE0"/>
    <w:rsid w:val="00D66C0F"/>
    <w:rsid w:val="00D7119E"/>
    <w:rsid w:val="00D7174D"/>
    <w:rsid w:val="00D72152"/>
    <w:rsid w:val="00D723CD"/>
    <w:rsid w:val="00D75111"/>
    <w:rsid w:val="00D755D9"/>
    <w:rsid w:val="00D757E4"/>
    <w:rsid w:val="00D768F7"/>
    <w:rsid w:val="00D8037D"/>
    <w:rsid w:val="00D8179B"/>
    <w:rsid w:val="00D82020"/>
    <w:rsid w:val="00D820F9"/>
    <w:rsid w:val="00D8233D"/>
    <w:rsid w:val="00D82636"/>
    <w:rsid w:val="00D829BC"/>
    <w:rsid w:val="00D83A30"/>
    <w:rsid w:val="00D878A6"/>
    <w:rsid w:val="00D87FB6"/>
    <w:rsid w:val="00D91C2E"/>
    <w:rsid w:val="00D93473"/>
    <w:rsid w:val="00D93624"/>
    <w:rsid w:val="00D942FB"/>
    <w:rsid w:val="00D94DE9"/>
    <w:rsid w:val="00D95F88"/>
    <w:rsid w:val="00D97996"/>
    <w:rsid w:val="00D97C3A"/>
    <w:rsid w:val="00DA1295"/>
    <w:rsid w:val="00DA25A0"/>
    <w:rsid w:val="00DA2F9A"/>
    <w:rsid w:val="00DA33D8"/>
    <w:rsid w:val="00DA351B"/>
    <w:rsid w:val="00DA40BA"/>
    <w:rsid w:val="00DA4740"/>
    <w:rsid w:val="00DA4A16"/>
    <w:rsid w:val="00DA5926"/>
    <w:rsid w:val="00DA5B2E"/>
    <w:rsid w:val="00DA7BE7"/>
    <w:rsid w:val="00DB21D9"/>
    <w:rsid w:val="00DB23B1"/>
    <w:rsid w:val="00DB60FE"/>
    <w:rsid w:val="00DB6EB3"/>
    <w:rsid w:val="00DB7466"/>
    <w:rsid w:val="00DB772E"/>
    <w:rsid w:val="00DC62D1"/>
    <w:rsid w:val="00DC62DD"/>
    <w:rsid w:val="00DC704C"/>
    <w:rsid w:val="00DD18C0"/>
    <w:rsid w:val="00DD19FA"/>
    <w:rsid w:val="00DD1C8C"/>
    <w:rsid w:val="00DD2B0B"/>
    <w:rsid w:val="00DD4675"/>
    <w:rsid w:val="00DD46D0"/>
    <w:rsid w:val="00DD5FD8"/>
    <w:rsid w:val="00DD7070"/>
    <w:rsid w:val="00DD71D2"/>
    <w:rsid w:val="00DE3030"/>
    <w:rsid w:val="00DE67D8"/>
    <w:rsid w:val="00DE739C"/>
    <w:rsid w:val="00DE7CD4"/>
    <w:rsid w:val="00DF177E"/>
    <w:rsid w:val="00DF3213"/>
    <w:rsid w:val="00DF331A"/>
    <w:rsid w:val="00DF352F"/>
    <w:rsid w:val="00DF4017"/>
    <w:rsid w:val="00DF45C3"/>
    <w:rsid w:val="00DF57C7"/>
    <w:rsid w:val="00DF7E50"/>
    <w:rsid w:val="00E002AD"/>
    <w:rsid w:val="00E003D8"/>
    <w:rsid w:val="00E00AE4"/>
    <w:rsid w:val="00E00B9C"/>
    <w:rsid w:val="00E018CF"/>
    <w:rsid w:val="00E03DD5"/>
    <w:rsid w:val="00E03E50"/>
    <w:rsid w:val="00E05352"/>
    <w:rsid w:val="00E05DE6"/>
    <w:rsid w:val="00E07C85"/>
    <w:rsid w:val="00E07CE8"/>
    <w:rsid w:val="00E10602"/>
    <w:rsid w:val="00E10691"/>
    <w:rsid w:val="00E108A9"/>
    <w:rsid w:val="00E11085"/>
    <w:rsid w:val="00E120D6"/>
    <w:rsid w:val="00E12721"/>
    <w:rsid w:val="00E13A11"/>
    <w:rsid w:val="00E14A94"/>
    <w:rsid w:val="00E157E1"/>
    <w:rsid w:val="00E174A3"/>
    <w:rsid w:val="00E22363"/>
    <w:rsid w:val="00E22ACB"/>
    <w:rsid w:val="00E22BD6"/>
    <w:rsid w:val="00E23D79"/>
    <w:rsid w:val="00E23D99"/>
    <w:rsid w:val="00E25374"/>
    <w:rsid w:val="00E254E8"/>
    <w:rsid w:val="00E2659B"/>
    <w:rsid w:val="00E2666B"/>
    <w:rsid w:val="00E26821"/>
    <w:rsid w:val="00E26B60"/>
    <w:rsid w:val="00E27C65"/>
    <w:rsid w:val="00E3264F"/>
    <w:rsid w:val="00E3286E"/>
    <w:rsid w:val="00E32F6E"/>
    <w:rsid w:val="00E33596"/>
    <w:rsid w:val="00E351E2"/>
    <w:rsid w:val="00E356A3"/>
    <w:rsid w:val="00E368EA"/>
    <w:rsid w:val="00E41CBF"/>
    <w:rsid w:val="00E447C0"/>
    <w:rsid w:val="00E454F5"/>
    <w:rsid w:val="00E45ABC"/>
    <w:rsid w:val="00E525B1"/>
    <w:rsid w:val="00E52A64"/>
    <w:rsid w:val="00E5356E"/>
    <w:rsid w:val="00E555CC"/>
    <w:rsid w:val="00E55B25"/>
    <w:rsid w:val="00E60998"/>
    <w:rsid w:val="00E60ED0"/>
    <w:rsid w:val="00E61A71"/>
    <w:rsid w:val="00E62139"/>
    <w:rsid w:val="00E6236D"/>
    <w:rsid w:val="00E6262F"/>
    <w:rsid w:val="00E63427"/>
    <w:rsid w:val="00E63748"/>
    <w:rsid w:val="00E65328"/>
    <w:rsid w:val="00E654EC"/>
    <w:rsid w:val="00E6573B"/>
    <w:rsid w:val="00E6610A"/>
    <w:rsid w:val="00E667A3"/>
    <w:rsid w:val="00E66ACE"/>
    <w:rsid w:val="00E67441"/>
    <w:rsid w:val="00E67E1D"/>
    <w:rsid w:val="00E7016B"/>
    <w:rsid w:val="00E704DD"/>
    <w:rsid w:val="00E70CBA"/>
    <w:rsid w:val="00E72773"/>
    <w:rsid w:val="00E74421"/>
    <w:rsid w:val="00E7486A"/>
    <w:rsid w:val="00E74B0F"/>
    <w:rsid w:val="00E74DFA"/>
    <w:rsid w:val="00E754F7"/>
    <w:rsid w:val="00E80E70"/>
    <w:rsid w:val="00E81C93"/>
    <w:rsid w:val="00E82911"/>
    <w:rsid w:val="00E83862"/>
    <w:rsid w:val="00E84712"/>
    <w:rsid w:val="00E856BE"/>
    <w:rsid w:val="00E85792"/>
    <w:rsid w:val="00E866AF"/>
    <w:rsid w:val="00E920BC"/>
    <w:rsid w:val="00E9213F"/>
    <w:rsid w:val="00E945FC"/>
    <w:rsid w:val="00E949FD"/>
    <w:rsid w:val="00E950ED"/>
    <w:rsid w:val="00E95E5E"/>
    <w:rsid w:val="00E96390"/>
    <w:rsid w:val="00E96506"/>
    <w:rsid w:val="00EA18DF"/>
    <w:rsid w:val="00EA1D23"/>
    <w:rsid w:val="00EA2B8A"/>
    <w:rsid w:val="00EA2CE4"/>
    <w:rsid w:val="00EA34F3"/>
    <w:rsid w:val="00EA36BF"/>
    <w:rsid w:val="00EA3805"/>
    <w:rsid w:val="00EA3922"/>
    <w:rsid w:val="00EA4595"/>
    <w:rsid w:val="00EA5C9B"/>
    <w:rsid w:val="00EA688B"/>
    <w:rsid w:val="00EA69DD"/>
    <w:rsid w:val="00EA7BF3"/>
    <w:rsid w:val="00EB1627"/>
    <w:rsid w:val="00EB191E"/>
    <w:rsid w:val="00EB3048"/>
    <w:rsid w:val="00EB3428"/>
    <w:rsid w:val="00EB3AEB"/>
    <w:rsid w:val="00EB5339"/>
    <w:rsid w:val="00EC1239"/>
    <w:rsid w:val="00EC15E3"/>
    <w:rsid w:val="00EC4904"/>
    <w:rsid w:val="00EC738F"/>
    <w:rsid w:val="00EC7D3E"/>
    <w:rsid w:val="00ED0795"/>
    <w:rsid w:val="00ED1280"/>
    <w:rsid w:val="00ED35F2"/>
    <w:rsid w:val="00ED5460"/>
    <w:rsid w:val="00ED6564"/>
    <w:rsid w:val="00ED6FCC"/>
    <w:rsid w:val="00EE0230"/>
    <w:rsid w:val="00EE0380"/>
    <w:rsid w:val="00EE0BEF"/>
    <w:rsid w:val="00EE137D"/>
    <w:rsid w:val="00EE20A7"/>
    <w:rsid w:val="00EE373A"/>
    <w:rsid w:val="00EE4527"/>
    <w:rsid w:val="00EE706A"/>
    <w:rsid w:val="00EE7726"/>
    <w:rsid w:val="00EF3FCD"/>
    <w:rsid w:val="00EF5A64"/>
    <w:rsid w:val="00EF6AF3"/>
    <w:rsid w:val="00F00C68"/>
    <w:rsid w:val="00F013B8"/>
    <w:rsid w:val="00F02495"/>
    <w:rsid w:val="00F03138"/>
    <w:rsid w:val="00F044BA"/>
    <w:rsid w:val="00F05404"/>
    <w:rsid w:val="00F0550B"/>
    <w:rsid w:val="00F05CE3"/>
    <w:rsid w:val="00F0663A"/>
    <w:rsid w:val="00F0672D"/>
    <w:rsid w:val="00F0721D"/>
    <w:rsid w:val="00F10BD4"/>
    <w:rsid w:val="00F11E7D"/>
    <w:rsid w:val="00F121EA"/>
    <w:rsid w:val="00F12E3B"/>
    <w:rsid w:val="00F148BB"/>
    <w:rsid w:val="00F14E58"/>
    <w:rsid w:val="00F15463"/>
    <w:rsid w:val="00F15B12"/>
    <w:rsid w:val="00F20065"/>
    <w:rsid w:val="00F21147"/>
    <w:rsid w:val="00F22A31"/>
    <w:rsid w:val="00F22BC2"/>
    <w:rsid w:val="00F23304"/>
    <w:rsid w:val="00F234F7"/>
    <w:rsid w:val="00F238F6"/>
    <w:rsid w:val="00F23BAE"/>
    <w:rsid w:val="00F23CBE"/>
    <w:rsid w:val="00F25E5C"/>
    <w:rsid w:val="00F2796F"/>
    <w:rsid w:val="00F30842"/>
    <w:rsid w:val="00F3177F"/>
    <w:rsid w:val="00F3403A"/>
    <w:rsid w:val="00F35312"/>
    <w:rsid w:val="00F35379"/>
    <w:rsid w:val="00F3700A"/>
    <w:rsid w:val="00F37617"/>
    <w:rsid w:val="00F37645"/>
    <w:rsid w:val="00F376A5"/>
    <w:rsid w:val="00F37D63"/>
    <w:rsid w:val="00F4186E"/>
    <w:rsid w:val="00F418CB"/>
    <w:rsid w:val="00F42BDB"/>
    <w:rsid w:val="00F43E1A"/>
    <w:rsid w:val="00F4410F"/>
    <w:rsid w:val="00F44451"/>
    <w:rsid w:val="00F47E7A"/>
    <w:rsid w:val="00F5077C"/>
    <w:rsid w:val="00F512AD"/>
    <w:rsid w:val="00F51948"/>
    <w:rsid w:val="00F51C76"/>
    <w:rsid w:val="00F5234B"/>
    <w:rsid w:val="00F52D7F"/>
    <w:rsid w:val="00F52DF3"/>
    <w:rsid w:val="00F546D5"/>
    <w:rsid w:val="00F54873"/>
    <w:rsid w:val="00F54F0C"/>
    <w:rsid w:val="00F552A5"/>
    <w:rsid w:val="00F55C8A"/>
    <w:rsid w:val="00F5631F"/>
    <w:rsid w:val="00F57B38"/>
    <w:rsid w:val="00F600BD"/>
    <w:rsid w:val="00F60111"/>
    <w:rsid w:val="00F60457"/>
    <w:rsid w:val="00F641BA"/>
    <w:rsid w:val="00F647C1"/>
    <w:rsid w:val="00F64C19"/>
    <w:rsid w:val="00F65462"/>
    <w:rsid w:val="00F6781A"/>
    <w:rsid w:val="00F67DDD"/>
    <w:rsid w:val="00F71452"/>
    <w:rsid w:val="00F71B67"/>
    <w:rsid w:val="00F73C30"/>
    <w:rsid w:val="00F74BB3"/>
    <w:rsid w:val="00F8431C"/>
    <w:rsid w:val="00F844A0"/>
    <w:rsid w:val="00F84540"/>
    <w:rsid w:val="00F8653C"/>
    <w:rsid w:val="00F868D7"/>
    <w:rsid w:val="00F86B48"/>
    <w:rsid w:val="00F87D3A"/>
    <w:rsid w:val="00F9022B"/>
    <w:rsid w:val="00F9025C"/>
    <w:rsid w:val="00F93037"/>
    <w:rsid w:val="00F937B0"/>
    <w:rsid w:val="00F942F3"/>
    <w:rsid w:val="00F94420"/>
    <w:rsid w:val="00F94E76"/>
    <w:rsid w:val="00F95177"/>
    <w:rsid w:val="00F95B5B"/>
    <w:rsid w:val="00F95BE7"/>
    <w:rsid w:val="00F9623E"/>
    <w:rsid w:val="00F96252"/>
    <w:rsid w:val="00F96A24"/>
    <w:rsid w:val="00FA1090"/>
    <w:rsid w:val="00FA1D4A"/>
    <w:rsid w:val="00FA2643"/>
    <w:rsid w:val="00FA4DF3"/>
    <w:rsid w:val="00FA584F"/>
    <w:rsid w:val="00FA65C8"/>
    <w:rsid w:val="00FA6C6C"/>
    <w:rsid w:val="00FA6DD3"/>
    <w:rsid w:val="00FB1E04"/>
    <w:rsid w:val="00FB2695"/>
    <w:rsid w:val="00FB31BB"/>
    <w:rsid w:val="00FB3A16"/>
    <w:rsid w:val="00FB4F25"/>
    <w:rsid w:val="00FB588A"/>
    <w:rsid w:val="00FB5C04"/>
    <w:rsid w:val="00FB5EDC"/>
    <w:rsid w:val="00FB7132"/>
    <w:rsid w:val="00FC4AB4"/>
    <w:rsid w:val="00FC6CAA"/>
    <w:rsid w:val="00FC72FB"/>
    <w:rsid w:val="00FD372B"/>
    <w:rsid w:val="00FD45DE"/>
    <w:rsid w:val="00FD5457"/>
    <w:rsid w:val="00FD5B35"/>
    <w:rsid w:val="00FE0612"/>
    <w:rsid w:val="00FE1542"/>
    <w:rsid w:val="00FE1A68"/>
    <w:rsid w:val="00FE261A"/>
    <w:rsid w:val="00FE4A0F"/>
    <w:rsid w:val="00FE4FFF"/>
    <w:rsid w:val="00FE6744"/>
    <w:rsid w:val="00FE7AA0"/>
    <w:rsid w:val="00FE7DB5"/>
    <w:rsid w:val="00FF06C0"/>
    <w:rsid w:val="00FF0B06"/>
    <w:rsid w:val="00FF16FA"/>
    <w:rsid w:val="00FF2E2B"/>
    <w:rsid w:val="00FF5427"/>
    <w:rsid w:val="00FF6734"/>
    <w:rsid w:val="00FF7C4A"/>
    <w:rsid w:val="00FF7D79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6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6E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DB6EB3"/>
    <w:pPr>
      <w:ind w:left="720"/>
    </w:pPr>
  </w:style>
  <w:style w:type="numbering" w:customStyle="1" w:styleId="WWNum1">
    <w:name w:val="WWNum1"/>
    <w:basedOn w:val="Nessunelenco"/>
    <w:rsid w:val="00DB6EB3"/>
    <w:pPr>
      <w:numPr>
        <w:numId w:val="1"/>
      </w:numPr>
    </w:pPr>
  </w:style>
  <w:style w:type="paragraph" w:styleId="Rientrocorpodeltesto">
    <w:name w:val="Body Text Indent"/>
    <w:basedOn w:val="Normale"/>
    <w:link w:val="RientrocorpodeltestoCarattere"/>
    <w:rsid w:val="00DB6EB3"/>
    <w:pPr>
      <w:widowControl/>
      <w:suppressAutoHyphens w:val="0"/>
      <w:autoSpaceDN/>
      <w:spacing w:after="120"/>
      <w:ind w:left="283"/>
      <w:textAlignment w:val="auto"/>
    </w:pPr>
    <w:rPr>
      <w:rFonts w:eastAsia="Times New Roman" w:cs="Arial Unicode MS"/>
      <w:kern w:val="0"/>
      <w:lang w:bidi="ml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6EB3"/>
    <w:rPr>
      <w:rFonts w:ascii="Times New Roman" w:eastAsia="Times New Roman" w:hAnsi="Times New Roman" w:cs="Arial Unicode MS"/>
      <w:sz w:val="24"/>
      <w:szCs w:val="24"/>
      <w:lang w:bidi="ml-IN"/>
    </w:rPr>
  </w:style>
  <w:style w:type="paragraph" w:customStyle="1" w:styleId="Corpo">
    <w:name w:val="Corpo"/>
    <w:rsid w:val="00DB6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EB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EB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western">
    <w:name w:val="western"/>
    <w:basedOn w:val="Normale"/>
    <w:uiPriority w:val="99"/>
    <w:rsid w:val="00EE20A7"/>
    <w:pPr>
      <w:widowControl/>
      <w:autoSpaceDN/>
      <w:spacing w:before="280"/>
      <w:jc w:val="center"/>
      <w:textAlignment w:val="auto"/>
    </w:pPr>
    <w:rPr>
      <w:rFonts w:ascii="Arial" w:eastAsia="Arial Unicode MS" w:hAnsi="Arial" w:cs="Arial"/>
      <w:b/>
      <w:bCs/>
      <w:kern w:val="0"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DSEA - Università di Padova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Furlan</dc:creator>
  <cp:lastModifiedBy>mbastianello</cp:lastModifiedBy>
  <cp:revision>2</cp:revision>
  <dcterms:created xsi:type="dcterms:W3CDTF">2016-02-02T08:34:00Z</dcterms:created>
  <dcterms:modified xsi:type="dcterms:W3CDTF">2016-02-02T08:34:00Z</dcterms:modified>
</cp:coreProperties>
</file>